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4033" w14:textId="77777777" w:rsidR="00125C46" w:rsidRDefault="00426848">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708A2E3B" wp14:editId="35C14233">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2060"/>
          <w:sz w:val="36"/>
          <w:szCs w:val="36"/>
        </w:rPr>
        <w:t xml:space="preserve">Job Description: Administration Assistant </w:t>
      </w:r>
    </w:p>
    <w:p w14:paraId="7AB7C4A8" w14:textId="77777777" w:rsidR="00125C46" w:rsidRDefault="00426848">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(Reprographics)</w:t>
      </w:r>
      <w:r>
        <w:rPr>
          <w:rFonts w:asciiTheme="majorHAnsi" w:hAnsiTheme="majorHAnsi" w:cstheme="majorHAnsi"/>
          <w:b/>
          <w:color w:val="002060"/>
          <w:sz w:val="36"/>
          <w:szCs w:val="36"/>
        </w:rPr>
        <w:tab/>
      </w:r>
    </w:p>
    <w:p w14:paraId="770062F4" w14:textId="77777777" w:rsidR="00125C46" w:rsidRDefault="00125C46">
      <w:pPr>
        <w:spacing w:after="0" w:line="259" w:lineRule="auto"/>
        <w:ind w:left="0" w:right="0" w:firstLine="0"/>
        <w:rPr>
          <w:rFonts w:asciiTheme="majorHAnsi" w:hAnsiTheme="majorHAnsi" w:cstheme="majorHAnsi"/>
          <w:color w:val="002060"/>
          <w:sz w:val="36"/>
          <w:szCs w:val="36"/>
        </w:rPr>
      </w:pPr>
    </w:p>
    <w:p w14:paraId="64E129A4" w14:textId="77777777" w:rsidR="00125C46" w:rsidRDefault="00125C4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125C46" w14:paraId="61953877" w14:textId="77777777">
        <w:trPr>
          <w:trHeight w:val="220"/>
        </w:trPr>
        <w:tc>
          <w:tcPr>
            <w:tcW w:w="1985" w:type="dxa"/>
          </w:tcPr>
          <w:p w14:paraId="2D077449" w14:textId="77777777" w:rsidR="00125C46" w:rsidRDefault="00426848">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1204EA17" w14:textId="77777777" w:rsidR="00125C46" w:rsidRDefault="00125C46">
            <w:pPr>
              <w:spacing w:after="0" w:line="240" w:lineRule="auto"/>
              <w:ind w:right="400" w:firstLine="136"/>
              <w:rPr>
                <w:rFonts w:asciiTheme="majorHAnsi" w:hAnsiTheme="majorHAnsi" w:cstheme="majorHAnsi"/>
                <w:color w:val="002060"/>
              </w:rPr>
            </w:pPr>
          </w:p>
        </w:tc>
      </w:tr>
      <w:tr w:rsidR="00125C46" w14:paraId="71F1F7C6" w14:textId="77777777">
        <w:trPr>
          <w:trHeight w:val="220"/>
        </w:trPr>
        <w:tc>
          <w:tcPr>
            <w:tcW w:w="1985" w:type="dxa"/>
          </w:tcPr>
          <w:p w14:paraId="34A40B57" w14:textId="66D225D3" w:rsidR="00125C46" w:rsidRDefault="00426848">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D07FB2">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453E7D8" w14:textId="77777777" w:rsidR="00125C46" w:rsidRDefault="00426848">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p>
        </w:tc>
      </w:tr>
      <w:tr w:rsidR="00D07FB2" w14:paraId="78759895" w14:textId="77777777">
        <w:trPr>
          <w:trHeight w:val="220"/>
        </w:trPr>
        <w:tc>
          <w:tcPr>
            <w:tcW w:w="1985" w:type="dxa"/>
          </w:tcPr>
          <w:p w14:paraId="692C9EA6" w14:textId="37E1C8F2" w:rsidR="00D07FB2" w:rsidRDefault="00D07FB2">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FCF22C3" w14:textId="1B9E8E90" w:rsidR="00D07FB2" w:rsidRDefault="00D07FB2">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125C46" w14:paraId="0D6B7E36" w14:textId="77777777">
        <w:trPr>
          <w:trHeight w:val="220"/>
        </w:trPr>
        <w:tc>
          <w:tcPr>
            <w:tcW w:w="1985" w:type="dxa"/>
          </w:tcPr>
          <w:p w14:paraId="6ABB4A82" w14:textId="674333CD" w:rsidR="00125C46" w:rsidRDefault="00426848">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D07FB2">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2E264681" w14:textId="2F227042" w:rsidR="00125C46" w:rsidRDefault="00426848">
            <w:pPr>
              <w:spacing w:after="0" w:line="240" w:lineRule="auto"/>
              <w:ind w:right="400"/>
              <w:rPr>
                <w:rFonts w:asciiTheme="majorHAnsi" w:hAnsiTheme="majorHAnsi" w:cstheme="majorHAnsi"/>
                <w:color w:val="002060"/>
              </w:rPr>
            </w:pPr>
            <w:r>
              <w:rPr>
                <w:rFonts w:asciiTheme="majorHAnsi" w:hAnsiTheme="majorHAnsi" w:cstheme="majorHAnsi"/>
                <w:color w:val="002060"/>
              </w:rPr>
              <w:t>Grade 4</w:t>
            </w:r>
          </w:p>
        </w:tc>
      </w:tr>
      <w:tr w:rsidR="00125C46" w14:paraId="338E664A" w14:textId="77777777">
        <w:trPr>
          <w:trHeight w:val="294"/>
        </w:trPr>
        <w:tc>
          <w:tcPr>
            <w:tcW w:w="1985" w:type="dxa"/>
          </w:tcPr>
          <w:p w14:paraId="11C1A76A" w14:textId="77777777" w:rsidR="00125C46" w:rsidRDefault="00426848">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4D403718" w14:textId="77777777" w:rsidR="00125C46" w:rsidRDefault="00426848">
            <w:pPr>
              <w:spacing w:after="0" w:line="240" w:lineRule="auto"/>
              <w:rPr>
                <w:rFonts w:asciiTheme="majorHAnsi" w:hAnsiTheme="majorHAnsi" w:cstheme="majorHAnsi"/>
                <w:color w:val="002060"/>
              </w:rPr>
            </w:pPr>
            <w:r>
              <w:rPr>
                <w:rFonts w:asciiTheme="majorHAnsi" w:hAnsiTheme="majorHAnsi" w:cstheme="majorHAnsi"/>
                <w:color w:val="002060"/>
              </w:rPr>
              <w:t>Operations Manager</w:t>
            </w:r>
          </w:p>
        </w:tc>
      </w:tr>
    </w:tbl>
    <w:p w14:paraId="78F7052A" w14:textId="77777777" w:rsidR="00125C46" w:rsidRDefault="00125C4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125C46" w14:paraId="5E7FB3B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378E05C2" w14:textId="77777777" w:rsidR="00125C46" w:rsidRDefault="00426848">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125C46" w14:paraId="081F0C78" w14:textId="77777777">
        <w:trPr>
          <w:trHeight w:val="850"/>
        </w:trPr>
        <w:tc>
          <w:tcPr>
            <w:tcW w:w="10059" w:type="dxa"/>
            <w:tcBorders>
              <w:top w:val="single" w:sz="4" w:space="0" w:color="002060"/>
              <w:left w:val="single" w:sz="4" w:space="0" w:color="002060"/>
              <w:bottom w:val="single" w:sz="4" w:space="0" w:color="002060"/>
              <w:right w:val="single" w:sz="4" w:space="0" w:color="002060"/>
            </w:tcBorders>
          </w:tcPr>
          <w:p w14:paraId="641EAEA6" w14:textId="77777777" w:rsidR="00125C46" w:rsidRDefault="00426848">
            <w:pPr>
              <w:ind w:left="142" w:right="228"/>
              <w:rPr>
                <w:rFonts w:asciiTheme="majorHAnsi" w:hAnsiTheme="majorHAnsi" w:cstheme="majorHAnsi"/>
                <w:color w:val="002060"/>
              </w:rPr>
            </w:pPr>
            <w:r>
              <w:rPr>
                <w:rFonts w:asciiTheme="majorHAnsi" w:hAnsiTheme="majorHAnsi" w:cstheme="majorHAnsi"/>
                <w:color w:val="002060"/>
              </w:rPr>
              <w:t>To work flexibly within the Front Office Team to support the day to day administration of the school, with a specific responsibility for producing printed materials of a high quality for teaching staff in designated subject area/department, including some in-class support with pupil activities. Whilst ensuring all reprographics equipment across the site is working with minimal downtime.</w:t>
            </w:r>
          </w:p>
        </w:tc>
      </w:tr>
    </w:tbl>
    <w:p w14:paraId="2A2E1C3B" w14:textId="77777777" w:rsidR="00125C46" w:rsidRDefault="00125C46">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125C46" w14:paraId="339240F8" w14:textId="77777777" w:rsidTr="0092035E">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5FDC598" w14:textId="57395BD5" w:rsidR="00125C46" w:rsidRDefault="00426848">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Duties and Responsibilities</w:t>
            </w:r>
          </w:p>
        </w:tc>
      </w:tr>
      <w:tr w:rsidR="00125C46" w14:paraId="2B9FED68" w14:textId="77777777" w:rsidTr="0092035E">
        <w:trPr>
          <w:trHeight w:val="105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34163"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work flexibly within the front office team to complete administration roles linked to the day to day running of the school, including providing cover in reception.</w:t>
            </w:r>
          </w:p>
          <w:p w14:paraId="1F803DE5"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contribute to the production and design of high quality resources i.e the school newsletter and a school promotional materials.</w:t>
            </w:r>
          </w:p>
          <w:p w14:paraId="15D3463F"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provide an outstanding reprographics service that can be relied on by all members of staff.</w:t>
            </w:r>
          </w:p>
          <w:p w14:paraId="653AA05F"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deliver resources to staff members (e.g. large volumes of printing).</w:t>
            </w:r>
          </w:p>
          <w:p w14:paraId="15275347"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make sure all reprographics equipment is functioning and regularly re-stocked to minimise delays to Teaching and Learning.</w:t>
            </w:r>
          </w:p>
          <w:p w14:paraId="20B27A73"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undertake duties to provide a quality reprographic service to the school and its community using a variety of sophisticated black and white and colour processes, machinery and materials.</w:t>
            </w:r>
          </w:p>
          <w:p w14:paraId="7A105555"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assess the confidentiality of work submitted for printing, exercising the appropriate safeguards relating to access.</w:t>
            </w:r>
          </w:p>
          <w:p w14:paraId="5FA689A0"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maintain and run costing reports which assesses materials and printing.</w:t>
            </w:r>
          </w:p>
          <w:p w14:paraId="12FAA0C2"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contribute to teaching sessions as appropriate by demonstrating or advising on the proper and safe use of materials and equipment for practical activities, including directed support for individual pupils.</w:t>
            </w:r>
          </w:p>
          <w:p w14:paraId="33F5FFF4"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maintain and undertake basic repairs to equipment where practical to do so or arrange alternative servicing by approved contractors.</w:t>
            </w:r>
          </w:p>
          <w:p w14:paraId="7F69066F"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use knowledge of chemicals, inks and other materials to maintain a safe environment for printing and reprographics including advise on health and safety matters in relation to the reprographics area.</w:t>
            </w:r>
          </w:p>
          <w:p w14:paraId="7B28C582"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be responsible for the safe storage of equipment and materials and the disposal of waste products in accordance with the relevant regulations, guidelines and school procedures.</w:t>
            </w:r>
          </w:p>
          <w:p w14:paraId="662E0FB9"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create and maintain appropriate records for the control and allocation of relevant materials and resources, including service schedules, inventories and stock.</w:t>
            </w:r>
          </w:p>
          <w:p w14:paraId="101E2405"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work against and stick to a strict matrix system when required during peak periods of the year (e.g. exam mocks/other important material).</w:t>
            </w:r>
          </w:p>
          <w:p w14:paraId="6F58984C"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undertake ordering and stock allocation activities as authorised, including arrangements for the local purchase of materials through petty cash.</w:t>
            </w:r>
          </w:p>
          <w:p w14:paraId="34D79C90"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lastRenderedPageBreak/>
              <w:t>To ensure that Health and Safety requirements and other relevant regulations (e.g. COSHH) are adhered to and observed.  This may involve undertaking regular checking procedures and risk assessments, as appropriate to the work area.</w:t>
            </w:r>
          </w:p>
          <w:p w14:paraId="4E9E0B04" w14:textId="77777777" w:rsidR="00125C46" w:rsidRDefault="00426848">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work co-operatively with other technicians to develop and share skills and expertise.</w:t>
            </w:r>
          </w:p>
          <w:p w14:paraId="0BCF5296" w14:textId="41BC515D" w:rsidR="00125C46" w:rsidRDefault="00426848" w:rsidP="00D07FB2">
            <w:pPr>
              <w:numPr>
                <w:ilvl w:val="0"/>
                <w:numId w:val="6"/>
              </w:numPr>
              <w:spacing w:after="0" w:line="240" w:lineRule="auto"/>
              <w:ind w:right="0"/>
              <w:contextualSpacing/>
              <w:rPr>
                <w:rFonts w:asciiTheme="majorHAnsi" w:hAnsiTheme="majorHAnsi" w:cstheme="majorHAnsi"/>
                <w:color w:val="002060"/>
              </w:rPr>
            </w:pPr>
            <w:r>
              <w:rPr>
                <w:rFonts w:asciiTheme="majorHAnsi" w:hAnsiTheme="majorHAnsi" w:cstheme="majorHAnsi"/>
                <w:color w:val="002060"/>
              </w:rPr>
              <w:t>To promote and safeguard the welfare of children and young people in accordance with the school’s safeguarding and child protection policy.</w:t>
            </w:r>
          </w:p>
        </w:tc>
      </w:tr>
    </w:tbl>
    <w:p w14:paraId="1BBA100C" w14:textId="77777777" w:rsidR="00D07FB2" w:rsidRDefault="00D07FB2" w:rsidP="00D07FB2">
      <w:pPr>
        <w:spacing w:after="0"/>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07FB2" w14:paraId="43A59CA6" w14:textId="77777777" w:rsidTr="009F096A">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5FE30DE" w14:textId="526D80D4" w:rsidR="00D07FB2" w:rsidRDefault="00D07FB2" w:rsidP="009F096A">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D07FB2" w14:paraId="21B0EE7E" w14:textId="77777777" w:rsidTr="009F096A">
        <w:trPr>
          <w:trHeight w:val="819"/>
        </w:trPr>
        <w:tc>
          <w:tcPr>
            <w:tcW w:w="10060" w:type="dxa"/>
            <w:tcBorders>
              <w:top w:val="single" w:sz="4" w:space="0" w:color="000000"/>
              <w:left w:val="single" w:sz="4" w:space="0" w:color="000000"/>
              <w:bottom w:val="single" w:sz="4" w:space="0" w:color="000000"/>
              <w:right w:val="single" w:sz="4" w:space="0" w:color="000000"/>
            </w:tcBorders>
          </w:tcPr>
          <w:p w14:paraId="3C18E25D" w14:textId="67157DF2" w:rsidR="00D07FB2" w:rsidRDefault="00D07FB2" w:rsidP="00D07FB2">
            <w:pPr>
              <w:pStyle w:val="ListParagraph"/>
              <w:numPr>
                <w:ilvl w:val="0"/>
                <w:numId w:val="1"/>
              </w:numPr>
              <w:spacing w:after="0" w:line="240" w:lineRule="auto"/>
              <w:ind w:left="426" w:right="228" w:hanging="284"/>
              <w:jc w:val="both"/>
              <w:rPr>
                <w:rFonts w:asciiTheme="majorHAnsi" w:hAnsiTheme="majorHAnsi" w:cstheme="majorHAnsi"/>
                <w:color w:val="002060"/>
              </w:rPr>
            </w:pPr>
            <w:r w:rsidRPr="00D07FB2">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26601594" w14:textId="77777777" w:rsidR="00D07FB2" w:rsidRDefault="00D07FB2" w:rsidP="00D07FB2">
      <w:pPr>
        <w:spacing w:after="0"/>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07FB2" w14:paraId="4331A3A9" w14:textId="77777777" w:rsidTr="009F096A">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3619F86" w14:textId="77777777" w:rsidR="00D07FB2" w:rsidRDefault="00D07FB2" w:rsidP="009F096A">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Other Duties</w:t>
            </w:r>
          </w:p>
        </w:tc>
      </w:tr>
      <w:tr w:rsidR="00D07FB2" w14:paraId="25B311D3" w14:textId="77777777" w:rsidTr="009F096A">
        <w:trPr>
          <w:trHeight w:val="819"/>
        </w:trPr>
        <w:tc>
          <w:tcPr>
            <w:tcW w:w="10060" w:type="dxa"/>
            <w:tcBorders>
              <w:top w:val="single" w:sz="4" w:space="0" w:color="000000"/>
              <w:left w:val="single" w:sz="4" w:space="0" w:color="000000"/>
              <w:bottom w:val="single" w:sz="4" w:space="0" w:color="000000"/>
              <w:right w:val="single" w:sz="4" w:space="0" w:color="000000"/>
            </w:tcBorders>
          </w:tcPr>
          <w:p w14:paraId="62605BEA" w14:textId="77777777" w:rsidR="00D07FB2" w:rsidRDefault="00D07FB2" w:rsidP="009F096A">
            <w:pPr>
              <w:ind w:right="228"/>
              <w:jc w:val="both"/>
              <w:rPr>
                <w:rFonts w:asciiTheme="majorHAnsi" w:hAnsiTheme="majorHAnsi" w:cstheme="majorHAnsi"/>
                <w:color w:val="002060"/>
              </w:rPr>
            </w:pPr>
            <w:r>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0324BC8A" w14:textId="20AC44D5" w:rsidR="00D07FB2" w:rsidRDefault="00D07FB2" w:rsidP="00D07FB2">
      <w:pPr>
        <w:spacing w:after="0"/>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D07FB2" w:rsidRPr="00C229C2" w14:paraId="3E2021AE" w14:textId="77777777" w:rsidTr="009F096A">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CE6D256" w14:textId="77777777" w:rsidR="00D07FB2" w:rsidRPr="00C229C2" w:rsidRDefault="00D07FB2" w:rsidP="009F096A">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D07FB2" w:rsidRPr="00E46D70" w14:paraId="334FFA7A" w14:textId="77777777" w:rsidTr="009F096A">
        <w:trPr>
          <w:trHeight w:val="869"/>
        </w:trPr>
        <w:tc>
          <w:tcPr>
            <w:tcW w:w="5030" w:type="dxa"/>
            <w:tcBorders>
              <w:top w:val="single" w:sz="4" w:space="0" w:color="000000"/>
              <w:left w:val="single" w:sz="4" w:space="0" w:color="000000"/>
              <w:bottom w:val="single" w:sz="4" w:space="0" w:color="000000"/>
              <w:right w:val="single" w:sz="4" w:space="0" w:color="000000"/>
            </w:tcBorders>
          </w:tcPr>
          <w:p w14:paraId="71B8F48A" w14:textId="77777777" w:rsidR="00D07FB2" w:rsidRPr="002E3CCC" w:rsidRDefault="00D07FB2" w:rsidP="009F096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5F8A344A" w14:textId="77777777" w:rsidR="00D07FB2" w:rsidRPr="002E3CCC" w:rsidRDefault="00D07FB2" w:rsidP="009F096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404D2EC" w14:textId="77777777" w:rsidR="00D07FB2" w:rsidRPr="002E3CCC" w:rsidRDefault="00D07FB2" w:rsidP="009F096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81C91FB" w14:textId="77777777" w:rsidR="00D07FB2" w:rsidRPr="002E3CCC" w:rsidRDefault="00D07FB2" w:rsidP="009F096A">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5B1939C0" w14:textId="77777777" w:rsidR="00D07FB2" w:rsidRDefault="00D07FB2" w:rsidP="009F096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71C96658" w14:textId="77777777" w:rsidR="00D07FB2" w:rsidRPr="002E3CCC" w:rsidRDefault="00D07FB2" w:rsidP="009F096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566837E0" w14:textId="77777777" w:rsidR="00D07FB2" w:rsidRPr="002E3CCC" w:rsidRDefault="00D07FB2" w:rsidP="009F096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77347A97" w14:textId="77777777" w:rsidR="00D07FB2" w:rsidRPr="00E46D70" w:rsidRDefault="00D07FB2" w:rsidP="009F096A">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1C425B2" w14:textId="77777777" w:rsidR="00D07FB2" w:rsidRDefault="00D07FB2" w:rsidP="00D07FB2">
      <w:pPr>
        <w:spacing w:after="0"/>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125C46" w14:paraId="5F6D5851"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10C7E372" w14:textId="24E16C51" w:rsidR="00125C46" w:rsidRDefault="00D07FB2">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125C46" w14:paraId="76AF2A52" w14:textId="77777777">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1F558" w14:textId="77777777" w:rsidR="00125C46" w:rsidRDefault="00426848">
            <w:pPr>
              <w:rPr>
                <w:rFonts w:asciiTheme="majorHAnsi" w:hAnsiTheme="majorHAnsi" w:cstheme="majorHAnsi"/>
                <w:b/>
                <w:color w:val="002060"/>
              </w:rPr>
            </w:pPr>
            <w:r>
              <w:rPr>
                <w:rFonts w:asciiTheme="majorHAnsi" w:hAnsiTheme="majorHAnsi" w:cstheme="majorHAnsi"/>
                <w:b/>
                <w:color w:val="002060"/>
              </w:rPr>
              <w:t>Essential:</w:t>
            </w:r>
          </w:p>
          <w:p w14:paraId="778DE33E" w14:textId="6DBDDE38" w:rsidR="00125C46" w:rsidRPr="00D07FB2" w:rsidRDefault="00D07FB2" w:rsidP="00D07FB2">
            <w:pPr>
              <w:pStyle w:val="ListParagraph"/>
              <w:numPr>
                <w:ilvl w:val="0"/>
                <w:numId w:val="9"/>
              </w:numPr>
              <w:rPr>
                <w:rFonts w:asciiTheme="majorHAnsi" w:hAnsiTheme="majorHAnsi" w:cstheme="majorHAnsi"/>
                <w:color w:val="002060"/>
              </w:rPr>
            </w:pPr>
            <w:r>
              <w:rPr>
                <w:rFonts w:asciiTheme="majorHAnsi" w:hAnsiTheme="majorHAnsi" w:cstheme="majorHAnsi"/>
                <w:color w:val="002060"/>
              </w:rPr>
              <w:t>A</w:t>
            </w:r>
            <w:r w:rsidR="00426848" w:rsidRPr="00D07FB2">
              <w:rPr>
                <w:rFonts w:asciiTheme="majorHAnsi" w:hAnsiTheme="majorHAnsi" w:cstheme="majorHAnsi"/>
                <w:color w:val="002060"/>
              </w:rPr>
              <w:t xml:space="preserve"> general level of education equating to NVQ level 2.</w:t>
            </w:r>
          </w:p>
          <w:p w14:paraId="1953BD29" w14:textId="52E820A3" w:rsidR="00125C46" w:rsidRPr="00D07FB2" w:rsidRDefault="00426848" w:rsidP="00D07FB2">
            <w:pPr>
              <w:pStyle w:val="ListParagraph"/>
              <w:numPr>
                <w:ilvl w:val="0"/>
                <w:numId w:val="9"/>
              </w:numPr>
              <w:rPr>
                <w:rFonts w:asciiTheme="majorHAnsi" w:hAnsiTheme="majorHAnsi" w:cstheme="majorHAnsi"/>
                <w:color w:val="002060"/>
              </w:rPr>
            </w:pPr>
            <w:r w:rsidRPr="00D07FB2">
              <w:rPr>
                <w:rFonts w:asciiTheme="majorHAnsi" w:hAnsiTheme="majorHAnsi" w:cstheme="majorHAnsi"/>
                <w:color w:val="002060"/>
              </w:rPr>
              <w:t>Familiarity with the safe and proper use of</w:t>
            </w:r>
            <w:r w:rsidR="00D07FB2">
              <w:rPr>
                <w:rFonts w:asciiTheme="majorHAnsi" w:hAnsiTheme="majorHAnsi" w:cstheme="majorHAnsi"/>
                <w:color w:val="002060"/>
              </w:rPr>
              <w:t xml:space="preserve"> reprographics </w:t>
            </w:r>
            <w:r w:rsidRPr="00D07FB2">
              <w:rPr>
                <w:rFonts w:asciiTheme="majorHAnsi" w:hAnsiTheme="majorHAnsi" w:cstheme="majorHAnsi"/>
                <w:color w:val="002060"/>
              </w:rPr>
              <w:t>equipment</w:t>
            </w:r>
            <w:r w:rsidR="00D07FB2">
              <w:rPr>
                <w:rFonts w:asciiTheme="majorHAnsi" w:hAnsiTheme="majorHAnsi" w:cstheme="majorHAnsi"/>
                <w:color w:val="002060"/>
              </w:rPr>
              <w:t>.</w:t>
            </w:r>
          </w:p>
          <w:p w14:paraId="3C8C81AC" w14:textId="77777777" w:rsidR="00125C46" w:rsidRPr="00D07FB2" w:rsidRDefault="00426848" w:rsidP="00D07FB2">
            <w:pPr>
              <w:pStyle w:val="ListParagraph"/>
              <w:numPr>
                <w:ilvl w:val="0"/>
                <w:numId w:val="9"/>
              </w:numPr>
              <w:rPr>
                <w:rFonts w:asciiTheme="majorHAnsi" w:hAnsiTheme="majorHAnsi" w:cstheme="majorHAnsi"/>
                <w:color w:val="002060"/>
              </w:rPr>
            </w:pPr>
            <w:r w:rsidRPr="00D07FB2">
              <w:rPr>
                <w:rFonts w:asciiTheme="majorHAnsi" w:hAnsiTheme="majorHAnsi" w:cstheme="majorHAnsi"/>
                <w:color w:val="002060"/>
              </w:rPr>
              <w:t>Good interpersonal skills and the ability to work co-operatively within the staff team.</w:t>
            </w:r>
          </w:p>
          <w:p w14:paraId="75576AAA" w14:textId="77777777" w:rsidR="00125C46" w:rsidRPr="00D07FB2" w:rsidRDefault="00426848" w:rsidP="00D07FB2">
            <w:pPr>
              <w:pStyle w:val="ListParagraph"/>
              <w:numPr>
                <w:ilvl w:val="0"/>
                <w:numId w:val="9"/>
              </w:numPr>
              <w:rPr>
                <w:rFonts w:asciiTheme="majorHAnsi" w:hAnsiTheme="majorHAnsi" w:cstheme="majorHAnsi"/>
                <w:color w:val="002060"/>
              </w:rPr>
            </w:pPr>
            <w:r w:rsidRPr="00D07FB2">
              <w:rPr>
                <w:rFonts w:asciiTheme="majorHAnsi" w:hAnsiTheme="majorHAnsi" w:cstheme="majorHAnsi"/>
                <w:color w:val="002060"/>
              </w:rPr>
              <w:t>Be able to work under pressure and tight deadlines.</w:t>
            </w:r>
          </w:p>
          <w:p w14:paraId="35A3EB07" w14:textId="77777777" w:rsidR="00125C46" w:rsidRPr="00D07FB2" w:rsidRDefault="00426848" w:rsidP="00D07FB2">
            <w:pPr>
              <w:pStyle w:val="ListParagraph"/>
              <w:numPr>
                <w:ilvl w:val="0"/>
                <w:numId w:val="9"/>
              </w:numPr>
              <w:rPr>
                <w:rFonts w:asciiTheme="majorHAnsi" w:hAnsiTheme="majorHAnsi" w:cstheme="majorHAnsi"/>
                <w:color w:val="002060"/>
              </w:rPr>
            </w:pPr>
            <w:r w:rsidRPr="00D07FB2">
              <w:rPr>
                <w:rFonts w:asciiTheme="majorHAnsi" w:hAnsiTheme="majorHAnsi" w:cstheme="majorHAnsi"/>
                <w:color w:val="002060"/>
              </w:rPr>
              <w:t>Have excellent organisation and communication skills.</w:t>
            </w:r>
          </w:p>
          <w:p w14:paraId="6C7C3B57" w14:textId="77777777" w:rsidR="00125C46" w:rsidRPr="00D07FB2" w:rsidRDefault="00426848" w:rsidP="00D07FB2">
            <w:pPr>
              <w:pStyle w:val="ListParagraph"/>
              <w:numPr>
                <w:ilvl w:val="0"/>
                <w:numId w:val="9"/>
              </w:numPr>
              <w:rPr>
                <w:rFonts w:asciiTheme="majorHAnsi" w:hAnsiTheme="majorHAnsi" w:cstheme="majorHAnsi"/>
                <w:color w:val="002060"/>
              </w:rPr>
            </w:pPr>
            <w:r w:rsidRPr="00D07FB2">
              <w:rPr>
                <w:rFonts w:asciiTheme="majorHAnsi" w:hAnsiTheme="majorHAnsi" w:cstheme="majorHAnsi"/>
                <w:color w:val="002060"/>
              </w:rPr>
              <w:t>A ‘can do’ work ethic.</w:t>
            </w:r>
          </w:p>
          <w:p w14:paraId="74FD639A" w14:textId="14497C6F" w:rsidR="00125C46" w:rsidRPr="00D07FB2" w:rsidRDefault="00426848" w:rsidP="00D07FB2">
            <w:pPr>
              <w:pStyle w:val="ListParagraph"/>
              <w:numPr>
                <w:ilvl w:val="0"/>
                <w:numId w:val="9"/>
              </w:numPr>
              <w:rPr>
                <w:rFonts w:asciiTheme="majorHAnsi" w:hAnsiTheme="majorHAnsi" w:cstheme="majorHAnsi"/>
                <w:color w:val="002060"/>
              </w:rPr>
            </w:pPr>
            <w:r w:rsidRPr="00D07FB2">
              <w:rPr>
                <w:rFonts w:asciiTheme="majorHAnsi" w:hAnsiTheme="majorHAnsi" w:cstheme="majorHAnsi"/>
                <w:color w:val="002060"/>
              </w:rPr>
              <w:t>Bundles of energy and able to be very hands</w:t>
            </w:r>
            <w:r w:rsidR="00D07FB2">
              <w:rPr>
                <w:rFonts w:asciiTheme="majorHAnsi" w:hAnsiTheme="majorHAnsi" w:cstheme="majorHAnsi"/>
                <w:color w:val="002060"/>
              </w:rPr>
              <w:t>-</w:t>
            </w:r>
            <w:r w:rsidRPr="00D07FB2">
              <w:rPr>
                <w:rFonts w:asciiTheme="majorHAnsi" w:hAnsiTheme="majorHAnsi" w:cstheme="majorHAnsi"/>
                <w:color w:val="002060"/>
              </w:rPr>
              <w:t>on.</w:t>
            </w:r>
          </w:p>
          <w:p w14:paraId="37E2F379" w14:textId="77777777" w:rsidR="00125C46" w:rsidRDefault="00426848">
            <w:pPr>
              <w:rPr>
                <w:rFonts w:asciiTheme="majorHAnsi" w:hAnsiTheme="majorHAnsi" w:cstheme="majorHAnsi"/>
                <w:b/>
                <w:color w:val="002060"/>
              </w:rPr>
            </w:pPr>
            <w:r>
              <w:rPr>
                <w:rFonts w:asciiTheme="majorHAnsi" w:hAnsiTheme="majorHAnsi" w:cstheme="majorHAnsi"/>
                <w:b/>
                <w:color w:val="002060"/>
              </w:rPr>
              <w:t>Desirable:</w:t>
            </w:r>
          </w:p>
          <w:p w14:paraId="18A32B6C" w14:textId="77777777" w:rsidR="00125C46" w:rsidRPr="00D07FB2" w:rsidRDefault="00426848" w:rsidP="00D07FB2">
            <w:pPr>
              <w:pStyle w:val="ListParagraph"/>
              <w:numPr>
                <w:ilvl w:val="0"/>
                <w:numId w:val="10"/>
              </w:numPr>
              <w:spacing w:after="0"/>
              <w:rPr>
                <w:rFonts w:asciiTheme="majorHAnsi" w:hAnsiTheme="majorHAnsi" w:cstheme="majorHAnsi"/>
                <w:color w:val="002060"/>
              </w:rPr>
            </w:pPr>
            <w:r w:rsidRPr="00D07FB2">
              <w:rPr>
                <w:rFonts w:asciiTheme="majorHAnsi" w:hAnsiTheme="majorHAnsi" w:cstheme="majorHAnsi"/>
                <w:color w:val="002060"/>
              </w:rPr>
              <w:t>A vocational or academic qualification in the relevant subject area at NVQ level 3 or above.</w:t>
            </w:r>
          </w:p>
          <w:p w14:paraId="46C58621" w14:textId="77777777" w:rsidR="00125C46" w:rsidRPr="00D07FB2" w:rsidRDefault="00426848" w:rsidP="00D07FB2">
            <w:pPr>
              <w:pStyle w:val="ListParagraph"/>
              <w:numPr>
                <w:ilvl w:val="0"/>
                <w:numId w:val="10"/>
              </w:numPr>
              <w:spacing w:after="0" w:line="240" w:lineRule="auto"/>
              <w:ind w:left="714" w:right="227" w:hanging="357"/>
              <w:rPr>
                <w:rFonts w:asciiTheme="majorHAnsi" w:hAnsiTheme="majorHAnsi" w:cstheme="majorHAnsi"/>
                <w:color w:val="002060"/>
              </w:rPr>
            </w:pPr>
            <w:r w:rsidRPr="00D07FB2">
              <w:rPr>
                <w:rFonts w:asciiTheme="majorHAnsi" w:hAnsiTheme="majorHAnsi" w:cstheme="majorHAnsi"/>
                <w:color w:val="002060"/>
              </w:rPr>
              <w:t>A background working with photocopiers and materials.</w:t>
            </w:r>
          </w:p>
          <w:p w14:paraId="22B78D29" w14:textId="3E0C5FEF" w:rsidR="00125C46" w:rsidRPr="00D07FB2" w:rsidRDefault="00426848" w:rsidP="00D07FB2">
            <w:pPr>
              <w:pStyle w:val="ListParagraph"/>
              <w:numPr>
                <w:ilvl w:val="0"/>
                <w:numId w:val="10"/>
              </w:numPr>
              <w:spacing w:after="0" w:line="360" w:lineRule="auto"/>
              <w:ind w:right="228"/>
              <w:rPr>
                <w:rFonts w:asciiTheme="majorHAnsi" w:hAnsiTheme="majorHAnsi" w:cstheme="majorHAnsi"/>
                <w:color w:val="002060"/>
              </w:rPr>
            </w:pPr>
            <w:r w:rsidRPr="00D07FB2">
              <w:rPr>
                <w:rFonts w:asciiTheme="majorHAnsi" w:hAnsiTheme="majorHAnsi" w:cstheme="majorHAnsi"/>
                <w:color w:val="002060"/>
              </w:rPr>
              <w:t>Knowledge of Adobe Photoshop and Microsoft Office 2016</w:t>
            </w:r>
            <w:r w:rsidR="00D07FB2">
              <w:rPr>
                <w:rFonts w:asciiTheme="majorHAnsi" w:hAnsiTheme="majorHAnsi" w:cstheme="majorHAnsi"/>
                <w:color w:val="002060"/>
              </w:rPr>
              <w:t>.</w:t>
            </w:r>
          </w:p>
        </w:tc>
      </w:tr>
    </w:tbl>
    <w:p w14:paraId="030BD435" w14:textId="77777777" w:rsidR="00125C46" w:rsidRDefault="00125C46">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125C46" w14:paraId="4FE4878D"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7D8B6AA" w14:textId="77777777" w:rsidR="00125C46" w:rsidRDefault="0042684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125C46" w14:paraId="1E8D2D53" w14:textId="77777777" w:rsidTr="00D07FB2">
        <w:trPr>
          <w:trHeight w:val="327"/>
        </w:trPr>
        <w:tc>
          <w:tcPr>
            <w:tcW w:w="10060" w:type="dxa"/>
            <w:tcBorders>
              <w:top w:val="single" w:sz="4" w:space="0" w:color="000000"/>
              <w:left w:val="single" w:sz="4" w:space="0" w:color="000000"/>
              <w:bottom w:val="single" w:sz="4" w:space="0" w:color="000000"/>
              <w:right w:val="single" w:sz="4" w:space="0" w:color="000000"/>
            </w:tcBorders>
          </w:tcPr>
          <w:p w14:paraId="30433D23" w14:textId="4CF21D20" w:rsidR="00125C46" w:rsidRDefault="00426848" w:rsidP="00D07FB2">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 holder.</w:t>
            </w:r>
          </w:p>
        </w:tc>
      </w:tr>
    </w:tbl>
    <w:p w14:paraId="2910992D" w14:textId="12F9CC04" w:rsidR="00125C46" w:rsidRDefault="00125C46" w:rsidP="00D07FB2">
      <w:pPr>
        <w:spacing w:after="0"/>
        <w:ind w:left="0" w:firstLine="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07FB2" w14:paraId="32720526" w14:textId="77777777" w:rsidTr="009F096A">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FEB3" w14:textId="38317112" w:rsidR="00D07FB2" w:rsidRDefault="00D07FB2" w:rsidP="009F096A">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D07FB2" w14:paraId="365BF05F" w14:textId="77777777" w:rsidTr="009F096A">
        <w:trPr>
          <w:trHeight w:val="327"/>
        </w:trPr>
        <w:tc>
          <w:tcPr>
            <w:tcW w:w="10060" w:type="dxa"/>
            <w:tcBorders>
              <w:top w:val="single" w:sz="4" w:space="0" w:color="000000"/>
              <w:left w:val="single" w:sz="4" w:space="0" w:color="000000"/>
              <w:bottom w:val="single" w:sz="4" w:space="0" w:color="000000"/>
              <w:right w:val="single" w:sz="4" w:space="0" w:color="000000"/>
            </w:tcBorders>
          </w:tcPr>
          <w:p w14:paraId="5B3C60D7" w14:textId="027953D3" w:rsidR="00D07FB2" w:rsidRDefault="00D07FB2" w:rsidP="00D07FB2">
            <w:pPr>
              <w:pStyle w:val="ListParagraph"/>
              <w:numPr>
                <w:ilvl w:val="0"/>
                <w:numId w:val="2"/>
              </w:numPr>
              <w:spacing w:after="0" w:line="240" w:lineRule="auto"/>
              <w:ind w:right="0"/>
              <w:rPr>
                <w:rFonts w:asciiTheme="majorHAnsi" w:hAnsiTheme="majorHAnsi" w:cstheme="majorHAnsi"/>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tc>
      </w:tr>
    </w:tbl>
    <w:p w14:paraId="14146C14" w14:textId="77777777" w:rsidR="00D07FB2" w:rsidRDefault="00D07FB2" w:rsidP="00D07FB2">
      <w:pPr>
        <w:ind w:left="0" w:firstLine="0"/>
        <w:jc w:val="both"/>
        <w:rPr>
          <w:rFonts w:asciiTheme="majorHAnsi" w:hAnsiTheme="majorHAnsi" w:cstheme="majorHAnsi"/>
          <w:color w:val="002060"/>
        </w:rPr>
      </w:pPr>
    </w:p>
    <w:sectPr w:rsidR="00D07FB2">
      <w:pgSz w:w="11906" w:h="16838"/>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3859C4"/>
    <w:multiLevelType w:val="hybridMultilevel"/>
    <w:tmpl w:val="FEE0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ECA08E8"/>
    <w:multiLevelType w:val="hybridMultilevel"/>
    <w:tmpl w:val="948E80B8"/>
    <w:lvl w:ilvl="0" w:tplc="08090001">
      <w:start w:val="1"/>
      <w:numFmt w:val="bullet"/>
      <w:lvlText w:val=""/>
      <w:lvlJc w:val="left"/>
      <w:pPr>
        <w:tabs>
          <w:tab w:val="num" w:pos="501"/>
        </w:tabs>
        <w:ind w:left="501" w:hanging="360"/>
      </w:pPr>
      <w:rPr>
        <w:rFonts w:ascii="Symbol" w:hAnsi="Symbol" w:hint="default"/>
      </w:rPr>
    </w:lvl>
    <w:lvl w:ilvl="1" w:tplc="08090019" w:tentative="1">
      <w:start w:val="1"/>
      <w:numFmt w:val="lowerLetter"/>
      <w:lvlText w:val="%2."/>
      <w:lvlJc w:val="left"/>
      <w:pPr>
        <w:tabs>
          <w:tab w:val="num" w:pos="1221"/>
        </w:tabs>
        <w:ind w:left="1221" w:hanging="360"/>
      </w:pPr>
    </w:lvl>
    <w:lvl w:ilvl="2" w:tplc="0809001B" w:tentative="1">
      <w:start w:val="1"/>
      <w:numFmt w:val="lowerRoman"/>
      <w:lvlText w:val="%3."/>
      <w:lvlJc w:val="right"/>
      <w:pPr>
        <w:tabs>
          <w:tab w:val="num" w:pos="1941"/>
        </w:tabs>
        <w:ind w:left="1941" w:hanging="180"/>
      </w:pPr>
    </w:lvl>
    <w:lvl w:ilvl="3" w:tplc="0809000F" w:tentative="1">
      <w:start w:val="1"/>
      <w:numFmt w:val="decimal"/>
      <w:lvlText w:val="%4."/>
      <w:lvlJc w:val="left"/>
      <w:pPr>
        <w:tabs>
          <w:tab w:val="num" w:pos="2661"/>
        </w:tabs>
        <w:ind w:left="2661" w:hanging="360"/>
      </w:pPr>
    </w:lvl>
    <w:lvl w:ilvl="4" w:tplc="08090019" w:tentative="1">
      <w:start w:val="1"/>
      <w:numFmt w:val="lowerLetter"/>
      <w:lvlText w:val="%5."/>
      <w:lvlJc w:val="left"/>
      <w:pPr>
        <w:tabs>
          <w:tab w:val="num" w:pos="3381"/>
        </w:tabs>
        <w:ind w:left="3381" w:hanging="360"/>
      </w:pPr>
    </w:lvl>
    <w:lvl w:ilvl="5" w:tplc="0809001B" w:tentative="1">
      <w:start w:val="1"/>
      <w:numFmt w:val="lowerRoman"/>
      <w:lvlText w:val="%6."/>
      <w:lvlJc w:val="right"/>
      <w:pPr>
        <w:tabs>
          <w:tab w:val="num" w:pos="4101"/>
        </w:tabs>
        <w:ind w:left="4101" w:hanging="180"/>
      </w:pPr>
    </w:lvl>
    <w:lvl w:ilvl="6" w:tplc="0809000F" w:tentative="1">
      <w:start w:val="1"/>
      <w:numFmt w:val="decimal"/>
      <w:lvlText w:val="%7."/>
      <w:lvlJc w:val="left"/>
      <w:pPr>
        <w:tabs>
          <w:tab w:val="num" w:pos="4821"/>
        </w:tabs>
        <w:ind w:left="4821" w:hanging="360"/>
      </w:pPr>
    </w:lvl>
    <w:lvl w:ilvl="7" w:tplc="08090019" w:tentative="1">
      <w:start w:val="1"/>
      <w:numFmt w:val="lowerLetter"/>
      <w:lvlText w:val="%8."/>
      <w:lvlJc w:val="left"/>
      <w:pPr>
        <w:tabs>
          <w:tab w:val="num" w:pos="5541"/>
        </w:tabs>
        <w:ind w:left="5541" w:hanging="360"/>
      </w:pPr>
    </w:lvl>
    <w:lvl w:ilvl="8" w:tplc="0809001B" w:tentative="1">
      <w:start w:val="1"/>
      <w:numFmt w:val="lowerRoman"/>
      <w:lvlText w:val="%9."/>
      <w:lvlJc w:val="right"/>
      <w:pPr>
        <w:tabs>
          <w:tab w:val="num" w:pos="6261"/>
        </w:tabs>
        <w:ind w:left="6261" w:hanging="180"/>
      </w:pPr>
    </w:lvl>
  </w:abstractNum>
  <w:abstractNum w:abstractNumId="7" w15:restartNumberingAfterBreak="0">
    <w:nsid w:val="451C1650"/>
    <w:multiLevelType w:val="hybridMultilevel"/>
    <w:tmpl w:val="5D1EA9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770418CC"/>
    <w:multiLevelType w:val="hybridMultilevel"/>
    <w:tmpl w:val="0B2E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25108">
    <w:abstractNumId w:val="2"/>
  </w:num>
  <w:num w:numId="2" w16cid:durableId="99767581">
    <w:abstractNumId w:val="3"/>
  </w:num>
  <w:num w:numId="3" w16cid:durableId="1495220801">
    <w:abstractNumId w:val="0"/>
  </w:num>
  <w:num w:numId="4" w16cid:durableId="1476798096">
    <w:abstractNumId w:val="1"/>
  </w:num>
  <w:num w:numId="5" w16cid:durableId="1435979478">
    <w:abstractNumId w:val="7"/>
  </w:num>
  <w:num w:numId="6" w16cid:durableId="76296057">
    <w:abstractNumId w:val="6"/>
  </w:num>
  <w:num w:numId="7" w16cid:durableId="1692797035">
    <w:abstractNumId w:val="8"/>
  </w:num>
  <w:num w:numId="8" w16cid:durableId="410009443">
    <w:abstractNumId w:val="5"/>
  </w:num>
  <w:num w:numId="9" w16cid:durableId="304549790">
    <w:abstractNumId w:val="9"/>
  </w:num>
  <w:num w:numId="10" w16cid:durableId="2085834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46"/>
    <w:rsid w:val="00125C46"/>
    <w:rsid w:val="00426848"/>
    <w:rsid w:val="0092035E"/>
    <w:rsid w:val="00AD178E"/>
    <w:rsid w:val="00C5352E"/>
    <w:rsid w:val="00D0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BB9"/>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D07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7ADF5-9331-422A-BB37-27CC78A16C57}">
  <ds:schemaRefs>
    <ds:schemaRef ds:uri="c43615f9-b002-4472-8ae5-8f57194bd4ee"/>
    <ds:schemaRef ds:uri="http://schemas.microsoft.com/office/infopath/2007/PartnerControls"/>
    <ds:schemaRef ds:uri="http://schemas.microsoft.com/office/2006/documentManagement/types"/>
    <ds:schemaRef ds:uri="bc11d83e-f3cc-40a3-b40f-75707fc3bb1d"/>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0339DA-AA05-49B0-B5F4-B82FA046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1D7A7-B044-497B-8BAD-86FB8E2E1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2025-10-21T07:31:00Z</dcterms:created>
  <dcterms:modified xsi:type="dcterms:W3CDTF">2025-10-21T07:31:00Z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