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575A1" w14:textId="77777777" w:rsidR="008745A7" w:rsidRDefault="00924328">
      <w:pPr>
        <w:pStyle w:val="BodyText"/>
        <w:ind w:left="120"/>
        <w:rPr>
          <w:rFonts w:ascii="Times New Roman"/>
          <w:sz w:val="20"/>
        </w:rPr>
      </w:pPr>
      <w:r>
        <w:rPr>
          <w:rFonts w:ascii="Times New Roman"/>
          <w:noProof/>
          <w:sz w:val="20"/>
        </w:rPr>
        <w:drawing>
          <wp:inline distT="0" distB="0" distL="0" distR="0" wp14:anchorId="209D05DE" wp14:editId="42F6D916">
            <wp:extent cx="5728025" cy="626364"/>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5728025" cy="626364"/>
                    </a:xfrm>
                    <a:prstGeom prst="rect">
                      <a:avLst/>
                    </a:prstGeom>
                  </pic:spPr>
                </pic:pic>
              </a:graphicData>
            </a:graphic>
          </wp:inline>
        </w:drawing>
      </w:r>
    </w:p>
    <w:p w14:paraId="33FE8D29" w14:textId="77777777" w:rsidR="008745A7" w:rsidRDefault="008745A7">
      <w:pPr>
        <w:pStyle w:val="BodyText"/>
        <w:spacing w:before="9"/>
        <w:rPr>
          <w:rFonts w:ascii="Times New Roman"/>
          <w:sz w:val="18"/>
        </w:rPr>
      </w:pPr>
    </w:p>
    <w:p w14:paraId="477A387C" w14:textId="77777777" w:rsidR="008745A7" w:rsidRDefault="00924328">
      <w:pPr>
        <w:pStyle w:val="BodyText"/>
        <w:spacing w:before="59"/>
        <w:ind w:left="121"/>
      </w:pPr>
      <w:r>
        <w:t>To</w:t>
      </w:r>
      <w:r>
        <w:rPr>
          <w:spacing w:val="6"/>
        </w:rPr>
        <w:t xml:space="preserve"> </w:t>
      </w:r>
      <w:r>
        <w:t>accompany</w:t>
      </w:r>
      <w:r>
        <w:rPr>
          <w:spacing w:val="10"/>
        </w:rPr>
        <w:t xml:space="preserve"> </w:t>
      </w:r>
      <w:r>
        <w:t>job</w:t>
      </w:r>
      <w:r>
        <w:rPr>
          <w:spacing w:val="-12"/>
        </w:rPr>
        <w:t xml:space="preserve"> </w:t>
      </w:r>
      <w:r>
        <w:t>description</w:t>
      </w:r>
      <w:r>
        <w:rPr>
          <w:spacing w:val="-12"/>
        </w:rPr>
        <w:t xml:space="preserve"> </w:t>
      </w:r>
      <w:r>
        <w:t>and</w:t>
      </w:r>
      <w:r>
        <w:rPr>
          <w:spacing w:val="7"/>
        </w:rPr>
        <w:t xml:space="preserve"> </w:t>
      </w:r>
      <w:r>
        <w:t>person</w:t>
      </w:r>
      <w:r>
        <w:rPr>
          <w:spacing w:val="-12"/>
        </w:rPr>
        <w:t xml:space="preserve"> </w:t>
      </w:r>
      <w:r>
        <w:t>specification</w:t>
      </w:r>
      <w:r>
        <w:rPr>
          <w:spacing w:val="-12"/>
        </w:rPr>
        <w:t xml:space="preserve"> </w:t>
      </w:r>
      <w:r>
        <w:t>when</w:t>
      </w:r>
      <w:r>
        <w:rPr>
          <w:spacing w:val="-11"/>
        </w:rPr>
        <w:t xml:space="preserve"> </w:t>
      </w:r>
      <w:r>
        <w:rPr>
          <w:spacing w:val="-2"/>
        </w:rPr>
        <w:t>required</w:t>
      </w:r>
    </w:p>
    <w:p w14:paraId="7940A464" w14:textId="27C387C2" w:rsidR="15F643F2" w:rsidRDefault="15F643F2" w:rsidP="15F643F2">
      <w:pPr>
        <w:pStyle w:val="BodyText"/>
        <w:spacing w:before="3"/>
        <w:ind w:firstLine="121"/>
      </w:pPr>
    </w:p>
    <w:p w14:paraId="3FF43E64" w14:textId="1FA7607D" w:rsidR="008745A7" w:rsidRDefault="00924328" w:rsidP="15F643F2">
      <w:pPr>
        <w:pStyle w:val="BodyText"/>
        <w:spacing w:before="3"/>
        <w:ind w:firstLine="121"/>
      </w:pPr>
      <w:r>
        <w:t>Job</w:t>
      </w:r>
      <w:r>
        <w:rPr>
          <w:spacing w:val="-15"/>
        </w:rPr>
        <w:t xml:space="preserve"> </w:t>
      </w:r>
      <w:r>
        <w:t>title:</w:t>
      </w:r>
      <w:r>
        <w:rPr>
          <w:spacing w:val="21"/>
        </w:rPr>
        <w:t xml:space="preserve"> </w:t>
      </w:r>
      <w:r w:rsidR="21872082">
        <w:rPr>
          <w:spacing w:val="21"/>
        </w:rPr>
        <w:t>Housing</w:t>
      </w:r>
      <w:r w:rsidR="000D0905">
        <w:rPr>
          <w:spacing w:val="21"/>
        </w:rPr>
        <w:t xml:space="preserve"> Officer </w:t>
      </w:r>
      <w:r w:rsidR="00AD549B">
        <w:rPr>
          <w:spacing w:val="21"/>
        </w:rPr>
        <w:t>–</w:t>
      </w:r>
      <w:r w:rsidR="21872082">
        <w:rPr>
          <w:spacing w:val="21"/>
        </w:rPr>
        <w:t xml:space="preserve"> </w:t>
      </w:r>
      <w:r w:rsidR="00AD549B">
        <w:t>Specialist housing officer (RSI)</w:t>
      </w:r>
    </w:p>
    <w:p w14:paraId="180A544D" w14:textId="77777777" w:rsidR="008745A7" w:rsidRDefault="00924328">
      <w:pPr>
        <w:pStyle w:val="BodyText"/>
        <w:spacing w:before="1"/>
        <w:ind w:left="121"/>
      </w:pPr>
      <w:r>
        <w:t>Directorate/Service/Team: Adults/Housing</w:t>
      </w:r>
      <w:r>
        <w:rPr>
          <w:spacing w:val="-8"/>
        </w:rPr>
        <w:t xml:space="preserve"> </w:t>
      </w:r>
      <w:r>
        <w:t>and</w:t>
      </w:r>
      <w:r>
        <w:rPr>
          <w:spacing w:val="-5"/>
        </w:rPr>
        <w:t xml:space="preserve"> </w:t>
      </w:r>
      <w:r>
        <w:t>Community</w:t>
      </w:r>
      <w:r>
        <w:rPr>
          <w:spacing w:val="-4"/>
        </w:rPr>
        <w:t xml:space="preserve"> </w:t>
      </w:r>
      <w:r>
        <w:t>Safety/Housing</w:t>
      </w:r>
      <w:r>
        <w:rPr>
          <w:spacing w:val="-8"/>
        </w:rPr>
        <w:t xml:space="preserve"> </w:t>
      </w:r>
      <w:r>
        <w:t>Solutions</w:t>
      </w:r>
      <w:r>
        <w:rPr>
          <w:spacing w:val="2"/>
        </w:rPr>
        <w:t xml:space="preserve"> </w:t>
      </w:r>
      <w:r>
        <w:rPr>
          <w:spacing w:val="-4"/>
        </w:rPr>
        <w:t>Team</w:t>
      </w:r>
    </w:p>
    <w:p w14:paraId="5F50DCDF" w14:textId="77777777" w:rsidR="008745A7" w:rsidRDefault="008745A7">
      <w:pPr>
        <w:pStyle w:val="BodyText"/>
        <w:spacing w:before="3"/>
        <w:rPr>
          <w:sz w:val="21"/>
        </w:rPr>
      </w:pPr>
    </w:p>
    <w:p w14:paraId="3C363B1E" w14:textId="77777777" w:rsidR="008745A7" w:rsidRDefault="00924328">
      <w:pPr>
        <w:pStyle w:val="Heading1"/>
        <w:spacing w:before="1"/>
      </w:pPr>
      <w:proofErr w:type="spellStart"/>
      <w:r>
        <w:t>Organisation</w:t>
      </w:r>
      <w:proofErr w:type="spellEnd"/>
      <w:r>
        <w:rPr>
          <w:spacing w:val="-4"/>
        </w:rPr>
        <w:t xml:space="preserve"> </w:t>
      </w:r>
      <w:r>
        <w:rPr>
          <w:spacing w:val="-2"/>
        </w:rPr>
        <w:t>structure</w:t>
      </w:r>
    </w:p>
    <w:p w14:paraId="0786BB27" w14:textId="00388F04" w:rsidR="008745A7" w:rsidRDefault="00924328">
      <w:pPr>
        <w:pStyle w:val="BodyText"/>
        <w:ind w:left="121"/>
      </w:pPr>
      <w:r>
        <w:t>Reporting</w:t>
      </w:r>
      <w:r>
        <w:rPr>
          <w:spacing w:val="-13"/>
        </w:rPr>
        <w:t xml:space="preserve"> </w:t>
      </w:r>
      <w:r>
        <w:t>to:</w:t>
      </w:r>
      <w:r>
        <w:rPr>
          <w:spacing w:val="13"/>
        </w:rPr>
        <w:t xml:space="preserve"> </w:t>
      </w:r>
      <w:r w:rsidR="05292AF2">
        <w:t>Senior Housing Officer</w:t>
      </w:r>
      <w:r w:rsidR="009B6D13">
        <w:t xml:space="preserve"> - RSI</w:t>
      </w:r>
      <w:r w:rsidR="05292AF2">
        <w:t xml:space="preserve">, </w:t>
      </w:r>
      <w:r w:rsidR="00AD549B">
        <w:t>specialist housing management</w:t>
      </w:r>
    </w:p>
    <w:p w14:paraId="228D536B" w14:textId="3F3FBAA9" w:rsidR="00276FDC" w:rsidRDefault="00924328">
      <w:pPr>
        <w:pStyle w:val="BodyText"/>
        <w:spacing w:before="2" w:line="242" w:lineRule="auto"/>
        <w:ind w:left="121" w:right="179"/>
      </w:pPr>
      <w:r>
        <w:t>Responsibility</w:t>
      </w:r>
      <w:r>
        <w:rPr>
          <w:spacing w:val="-1"/>
        </w:rPr>
        <w:t xml:space="preserve"> </w:t>
      </w:r>
      <w:r>
        <w:t>for</w:t>
      </w:r>
      <w:proofErr w:type="gramStart"/>
      <w:r>
        <w:t xml:space="preserve">: </w:t>
      </w:r>
      <w:r w:rsidR="00C3445B">
        <w:t xml:space="preserve"> </w:t>
      </w:r>
      <w:r w:rsidR="000B00B9">
        <w:t>none</w:t>
      </w:r>
      <w:proofErr w:type="gramEnd"/>
      <w:r w:rsidR="000B00B9">
        <w:t>.</w:t>
      </w:r>
    </w:p>
    <w:p w14:paraId="4A2EEFF0" w14:textId="65639AF6" w:rsidR="00E51333" w:rsidRDefault="00AD549B" w:rsidP="00E51333">
      <w:pPr>
        <w:pStyle w:val="BodyText"/>
        <w:spacing w:before="2" w:after="0" w:line="242" w:lineRule="auto"/>
        <w:ind w:left="121" w:right="179"/>
      </w:pPr>
      <w:r>
        <w:t>Provide specialist housing management</w:t>
      </w:r>
      <w:r w:rsidR="0052666A">
        <w:t xml:space="preserve"> functions to vulnerable clients in our rough sleeping units. </w:t>
      </w:r>
    </w:p>
    <w:p w14:paraId="6C756B66" w14:textId="77777777" w:rsidR="00E51333" w:rsidRDefault="00E51333" w:rsidP="00E51333">
      <w:pPr>
        <w:pStyle w:val="BodyText"/>
        <w:spacing w:before="2" w:after="0" w:line="242" w:lineRule="auto"/>
        <w:ind w:left="121" w:right="179"/>
      </w:pPr>
    </w:p>
    <w:p w14:paraId="70D867D3" w14:textId="6AF81448" w:rsidR="008745A7" w:rsidRDefault="00924328" w:rsidP="00E51333">
      <w:pPr>
        <w:pStyle w:val="Heading1"/>
        <w:spacing w:after="0"/>
        <w:ind w:left="0"/>
        <w:rPr>
          <w:spacing w:val="-4"/>
        </w:rPr>
      </w:pPr>
      <w:r>
        <w:t>Context</w:t>
      </w:r>
      <w:r>
        <w:rPr>
          <w:spacing w:val="-8"/>
        </w:rPr>
        <w:t xml:space="preserve"> </w:t>
      </w:r>
      <w:r>
        <w:t>of</w:t>
      </w:r>
      <w:r>
        <w:rPr>
          <w:spacing w:val="-11"/>
        </w:rPr>
        <w:t xml:space="preserve"> </w:t>
      </w:r>
      <w:r>
        <w:rPr>
          <w:spacing w:val="-4"/>
        </w:rPr>
        <w:t>work</w:t>
      </w:r>
    </w:p>
    <w:p w14:paraId="204BFAE0" w14:textId="77777777" w:rsidR="003F67A8" w:rsidRPr="003F67A8" w:rsidRDefault="003F67A8" w:rsidP="003F67A8">
      <w:pPr>
        <w:rPr>
          <w:rFonts w:asciiTheme="minorHAnsi" w:hAnsiTheme="minorHAnsi" w:cstheme="minorHAnsi"/>
          <w:lang w:val="en-GB"/>
        </w:rPr>
      </w:pPr>
      <w:r w:rsidRPr="003F67A8">
        <w:rPr>
          <w:rFonts w:asciiTheme="minorHAnsi" w:hAnsiTheme="minorHAnsi" w:cstheme="minorHAnsi"/>
          <w:lang w:val="en-GB"/>
        </w:rPr>
        <w:t>The Specialist Housing Officer (RSI) will manage temporary accommodation units dedicated to supporting former rough sleepers and individuals with complex needs, ensuring properties are maintained to a safe, compliant, and high-quality standard.</w:t>
      </w:r>
    </w:p>
    <w:p w14:paraId="0E353E71" w14:textId="77777777" w:rsidR="00E51333" w:rsidRDefault="00E51333" w:rsidP="003F67A8">
      <w:pPr>
        <w:rPr>
          <w:rFonts w:asciiTheme="minorHAnsi" w:hAnsiTheme="minorHAnsi" w:cstheme="minorHAnsi"/>
        </w:rPr>
      </w:pPr>
      <w:r w:rsidRPr="00E51333">
        <w:rPr>
          <w:rFonts w:asciiTheme="minorHAnsi" w:hAnsiTheme="minorHAnsi" w:cstheme="minorHAnsi"/>
        </w:rPr>
        <w:t>The postholder will work closely with Team Leaders and Senior Housing Officers across the service, and will collaborate with Housing Options, Housing Register and Lettings, Housing Performance and Strategy teams, as well as support providers, Adult and Children’s Social Care, safeguarding services, and a range of external partners, to ensure that vulnerable individuals are supported to move into, sustain, and successfully move on from appropriate accommodation.</w:t>
      </w:r>
    </w:p>
    <w:p w14:paraId="53C8E9CC" w14:textId="2BA93737" w:rsidR="003F67A8" w:rsidRPr="003F67A8" w:rsidRDefault="003F67A8" w:rsidP="003F67A8">
      <w:pPr>
        <w:rPr>
          <w:rFonts w:asciiTheme="minorHAnsi" w:hAnsiTheme="minorHAnsi" w:cstheme="minorHAnsi"/>
          <w:lang w:val="en-GB"/>
        </w:rPr>
      </w:pPr>
      <w:r w:rsidRPr="003F67A8">
        <w:rPr>
          <w:rFonts w:asciiTheme="minorHAnsi" w:hAnsiTheme="minorHAnsi" w:cstheme="minorHAnsi"/>
          <w:lang w:val="en-GB"/>
        </w:rPr>
        <w:t>Key elements of the role include:</w:t>
      </w:r>
    </w:p>
    <w:p w14:paraId="5DBE099B" w14:textId="77777777" w:rsidR="003F67A8" w:rsidRPr="003F67A8" w:rsidRDefault="003F67A8" w:rsidP="003F67A8">
      <w:pPr>
        <w:numPr>
          <w:ilvl w:val="0"/>
          <w:numId w:val="5"/>
        </w:numPr>
        <w:rPr>
          <w:rFonts w:asciiTheme="minorHAnsi" w:hAnsiTheme="minorHAnsi" w:cstheme="minorHAnsi"/>
          <w:lang w:val="en-GB"/>
        </w:rPr>
      </w:pPr>
      <w:r w:rsidRPr="003F67A8">
        <w:rPr>
          <w:rFonts w:asciiTheme="minorHAnsi" w:hAnsiTheme="minorHAnsi" w:cstheme="minorHAnsi"/>
          <w:lang w:val="en-GB"/>
        </w:rPr>
        <w:t>Managing specialist temporary accommodation units such as rough sleeper projects.</w:t>
      </w:r>
    </w:p>
    <w:p w14:paraId="5E83589F" w14:textId="77777777" w:rsidR="003F67A8" w:rsidRPr="003F67A8" w:rsidRDefault="003F67A8" w:rsidP="003F67A8">
      <w:pPr>
        <w:numPr>
          <w:ilvl w:val="0"/>
          <w:numId w:val="5"/>
        </w:numPr>
        <w:rPr>
          <w:rFonts w:asciiTheme="minorHAnsi" w:hAnsiTheme="minorHAnsi" w:cstheme="minorHAnsi"/>
          <w:lang w:val="en-GB"/>
        </w:rPr>
      </w:pPr>
      <w:r w:rsidRPr="003F67A8">
        <w:rPr>
          <w:rFonts w:asciiTheme="minorHAnsi" w:hAnsiTheme="minorHAnsi" w:cstheme="minorHAnsi"/>
          <w:lang w:val="en-GB"/>
        </w:rPr>
        <w:t>Managing tenancy/licence agreements and supporting residents to comply with their conditions.</w:t>
      </w:r>
    </w:p>
    <w:p w14:paraId="6FEBB961" w14:textId="77777777" w:rsidR="003F67A8" w:rsidRPr="003F67A8" w:rsidRDefault="003F67A8" w:rsidP="003F67A8">
      <w:pPr>
        <w:numPr>
          <w:ilvl w:val="0"/>
          <w:numId w:val="5"/>
        </w:numPr>
        <w:rPr>
          <w:rFonts w:asciiTheme="minorHAnsi" w:hAnsiTheme="minorHAnsi" w:cstheme="minorHAnsi"/>
          <w:lang w:val="en-GB"/>
        </w:rPr>
      </w:pPr>
      <w:r w:rsidRPr="003F67A8">
        <w:rPr>
          <w:rFonts w:asciiTheme="minorHAnsi" w:hAnsiTheme="minorHAnsi" w:cstheme="minorHAnsi"/>
          <w:lang w:val="en-GB"/>
        </w:rPr>
        <w:t>Monitoring property standards, arranging repairs, and ensuring all compliance checks are completed.</w:t>
      </w:r>
    </w:p>
    <w:p w14:paraId="4133B47A" w14:textId="77777777" w:rsidR="003F67A8" w:rsidRPr="003F67A8" w:rsidRDefault="003F67A8" w:rsidP="003F67A8">
      <w:pPr>
        <w:numPr>
          <w:ilvl w:val="0"/>
          <w:numId w:val="5"/>
        </w:numPr>
        <w:rPr>
          <w:rFonts w:asciiTheme="minorHAnsi" w:hAnsiTheme="minorHAnsi" w:cstheme="minorHAnsi"/>
          <w:lang w:val="en-GB"/>
        </w:rPr>
      </w:pPr>
      <w:r w:rsidRPr="003F67A8">
        <w:rPr>
          <w:rFonts w:asciiTheme="minorHAnsi" w:hAnsiTheme="minorHAnsi" w:cstheme="minorHAnsi"/>
          <w:lang w:val="en-GB"/>
        </w:rPr>
        <w:t>Supporting tenancy sustainment, promoting independent living skills, and reducing the risk of repeat homelessness.</w:t>
      </w:r>
    </w:p>
    <w:p w14:paraId="779F7812" w14:textId="77777777" w:rsidR="003F67A8" w:rsidRPr="003F67A8" w:rsidRDefault="003F67A8" w:rsidP="003F67A8">
      <w:pPr>
        <w:numPr>
          <w:ilvl w:val="0"/>
          <w:numId w:val="5"/>
        </w:numPr>
        <w:rPr>
          <w:rFonts w:asciiTheme="minorHAnsi" w:hAnsiTheme="minorHAnsi" w:cstheme="minorHAnsi"/>
          <w:lang w:val="en-GB"/>
        </w:rPr>
      </w:pPr>
      <w:r w:rsidRPr="003F67A8">
        <w:rPr>
          <w:rFonts w:asciiTheme="minorHAnsi" w:hAnsiTheme="minorHAnsi" w:cstheme="minorHAnsi"/>
          <w:lang w:val="en-GB"/>
        </w:rPr>
        <w:t>Working collaboratively with Housing Solutions, the Rough Sleeper Project Group, and support providers to facilitate timely and effective move-ins and move-</w:t>
      </w:r>
      <w:proofErr w:type="spellStart"/>
      <w:r w:rsidRPr="003F67A8">
        <w:rPr>
          <w:rFonts w:asciiTheme="minorHAnsi" w:hAnsiTheme="minorHAnsi" w:cstheme="minorHAnsi"/>
          <w:lang w:val="en-GB"/>
        </w:rPr>
        <w:t>ons</w:t>
      </w:r>
      <w:proofErr w:type="spellEnd"/>
      <w:r w:rsidRPr="003F67A8">
        <w:rPr>
          <w:rFonts w:asciiTheme="minorHAnsi" w:hAnsiTheme="minorHAnsi" w:cstheme="minorHAnsi"/>
          <w:lang w:val="en-GB"/>
        </w:rPr>
        <w:t>.</w:t>
      </w:r>
    </w:p>
    <w:p w14:paraId="3BCE3CE1" w14:textId="77777777" w:rsidR="003F67A8" w:rsidRPr="003F67A8" w:rsidRDefault="003F67A8" w:rsidP="003F67A8">
      <w:pPr>
        <w:numPr>
          <w:ilvl w:val="0"/>
          <w:numId w:val="5"/>
        </w:numPr>
        <w:rPr>
          <w:rFonts w:asciiTheme="minorHAnsi" w:hAnsiTheme="minorHAnsi" w:cstheme="minorHAnsi"/>
          <w:lang w:val="en-GB"/>
        </w:rPr>
      </w:pPr>
      <w:r w:rsidRPr="003F67A8">
        <w:rPr>
          <w:rFonts w:asciiTheme="minorHAnsi" w:hAnsiTheme="minorHAnsi" w:cstheme="minorHAnsi"/>
          <w:lang w:val="en-GB"/>
        </w:rPr>
        <w:t>Supporting safeguarding through early identification of risks and making appropriate referrals.</w:t>
      </w:r>
    </w:p>
    <w:p w14:paraId="720264C5" w14:textId="77777777" w:rsidR="003F67A8" w:rsidRPr="003F67A8" w:rsidRDefault="003F67A8" w:rsidP="003F67A8">
      <w:pPr>
        <w:numPr>
          <w:ilvl w:val="0"/>
          <w:numId w:val="5"/>
        </w:numPr>
        <w:rPr>
          <w:rFonts w:asciiTheme="minorHAnsi" w:hAnsiTheme="minorHAnsi" w:cstheme="minorHAnsi"/>
          <w:lang w:val="en-GB"/>
        </w:rPr>
      </w:pPr>
      <w:r w:rsidRPr="003F67A8">
        <w:rPr>
          <w:rFonts w:asciiTheme="minorHAnsi" w:hAnsiTheme="minorHAnsi" w:cstheme="minorHAnsi"/>
          <w:lang w:val="en-GB"/>
        </w:rPr>
        <w:t>Building strong partnerships with support agencies, health teams, and outreach services to provide wraparound support for residents.</w:t>
      </w:r>
    </w:p>
    <w:p w14:paraId="07BA83F4" w14:textId="77777777" w:rsidR="003F67A8" w:rsidRDefault="003F67A8" w:rsidP="003F67A8">
      <w:pPr>
        <w:rPr>
          <w:rFonts w:asciiTheme="minorHAnsi" w:hAnsiTheme="minorHAnsi" w:cstheme="minorHAnsi"/>
          <w:lang w:val="en-GB"/>
        </w:rPr>
      </w:pPr>
    </w:p>
    <w:p w14:paraId="60E0BC05" w14:textId="1F3D24D3" w:rsidR="003F67A8" w:rsidRPr="003F67A8" w:rsidRDefault="003F67A8" w:rsidP="003F67A8">
      <w:pPr>
        <w:rPr>
          <w:rFonts w:asciiTheme="minorHAnsi" w:hAnsiTheme="minorHAnsi" w:cstheme="minorHAnsi"/>
          <w:lang w:val="en-GB"/>
        </w:rPr>
      </w:pPr>
      <w:r w:rsidRPr="003F67A8">
        <w:rPr>
          <w:rFonts w:asciiTheme="minorHAnsi" w:hAnsiTheme="minorHAnsi" w:cstheme="minorHAnsi"/>
          <w:lang w:val="en-GB"/>
        </w:rPr>
        <w:t>This is a critical role in helping to break the cycle of homelessness for some of Dorset’s most vulnerable residents.</w:t>
      </w:r>
    </w:p>
    <w:p w14:paraId="626CE850" w14:textId="56B7C0A1" w:rsidR="000234F9" w:rsidRPr="004C501E" w:rsidRDefault="004C501E" w:rsidP="004C501E">
      <w:pPr>
        <w:rPr>
          <w:rStyle w:val="eop"/>
          <w:rFonts w:asciiTheme="minorHAnsi" w:hAnsiTheme="minorHAnsi" w:cstheme="minorHAnsi"/>
        </w:rPr>
      </w:pPr>
      <w:r>
        <w:rPr>
          <w:rStyle w:val="eop"/>
          <w:rFonts w:asciiTheme="minorHAnsi" w:hAnsiTheme="minorHAnsi" w:cstheme="minorHAnsi"/>
          <w:b/>
          <w:bCs/>
        </w:rPr>
        <w:br w:type="page"/>
      </w:r>
    </w:p>
    <w:p w14:paraId="3C2F681B" w14:textId="77777777" w:rsidR="000234F9" w:rsidRDefault="00D55FB3" w:rsidP="00D55FB3">
      <w:r>
        <w:rPr>
          <w:noProof/>
        </w:rPr>
        <w:lastRenderedPageBreak/>
        <w:drawing>
          <wp:anchor distT="0" distB="0" distL="0" distR="0" simplePos="0" relativeHeight="251658240" behindDoc="0" locked="0" layoutInCell="1" allowOverlap="1" wp14:anchorId="12F2E6C1" wp14:editId="32F0D4F9">
            <wp:simplePos x="0" y="0"/>
            <wp:positionH relativeFrom="margin">
              <wp:align>left</wp:align>
            </wp:positionH>
            <wp:positionV relativeFrom="paragraph">
              <wp:posOffset>247220</wp:posOffset>
            </wp:positionV>
            <wp:extent cx="5613209" cy="631221"/>
            <wp:effectExtent l="0" t="0" r="698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5613209" cy="631221"/>
                    </a:xfrm>
                    <a:prstGeom prst="rect">
                      <a:avLst/>
                    </a:prstGeom>
                  </pic:spPr>
                </pic:pic>
              </a:graphicData>
            </a:graphic>
          </wp:anchor>
        </w:drawing>
      </w:r>
    </w:p>
    <w:p w14:paraId="489E49A0" w14:textId="77777777" w:rsidR="000234F9" w:rsidRDefault="000234F9" w:rsidP="00D55FB3"/>
    <w:p w14:paraId="6F11AC7F" w14:textId="01B99BE5" w:rsidR="008745A7" w:rsidRPr="000234F9" w:rsidRDefault="00924328" w:rsidP="00D55FB3">
      <w:pPr>
        <w:rPr>
          <w:b/>
          <w:bCs/>
          <w:sz w:val="28"/>
          <w:szCs w:val="28"/>
        </w:rPr>
      </w:pPr>
      <w:r w:rsidRPr="000234F9">
        <w:rPr>
          <w:b/>
          <w:bCs/>
          <w:sz w:val="28"/>
          <w:szCs w:val="28"/>
        </w:rPr>
        <w:t>Travel</w:t>
      </w:r>
      <w:r w:rsidRPr="000234F9">
        <w:rPr>
          <w:b/>
          <w:bCs/>
          <w:spacing w:val="-11"/>
          <w:sz w:val="28"/>
          <w:szCs w:val="28"/>
        </w:rPr>
        <w:t xml:space="preserve"> </w:t>
      </w:r>
      <w:r w:rsidRPr="000234F9">
        <w:rPr>
          <w:b/>
          <w:bCs/>
          <w:spacing w:val="-2"/>
          <w:sz w:val="28"/>
          <w:szCs w:val="28"/>
        </w:rPr>
        <w:t>requirement</w:t>
      </w:r>
    </w:p>
    <w:p w14:paraId="0AEC73EE" w14:textId="6674E54D" w:rsidR="008745A7" w:rsidRPr="00D55FB3" w:rsidRDefault="00924328" w:rsidP="00D55FB3">
      <w:pPr>
        <w:pStyle w:val="BodyText"/>
        <w:ind w:left="121" w:right="179"/>
      </w:pPr>
      <w:r w:rsidRPr="00D55FB3">
        <w:t>This position has a significant travel requirement.</w:t>
      </w:r>
      <w:r w:rsidRPr="00D55FB3">
        <w:rPr>
          <w:spacing w:val="-2"/>
        </w:rPr>
        <w:t xml:space="preserve"> </w:t>
      </w:r>
      <w:r w:rsidRPr="00D55FB3">
        <w:t>This means</w:t>
      </w:r>
      <w:r w:rsidRPr="00D55FB3">
        <w:rPr>
          <w:spacing w:val="-4"/>
        </w:rPr>
        <w:t xml:space="preserve"> </w:t>
      </w:r>
      <w:r w:rsidRPr="00D55FB3">
        <w:t>that</w:t>
      </w:r>
      <w:r w:rsidRPr="00D55FB3">
        <w:rPr>
          <w:spacing w:val="-7"/>
        </w:rPr>
        <w:t xml:space="preserve"> </w:t>
      </w:r>
      <w:r w:rsidRPr="00D55FB3">
        <w:t>there is a requirement</w:t>
      </w:r>
      <w:r w:rsidRPr="00D55FB3">
        <w:rPr>
          <w:spacing w:val="-7"/>
        </w:rPr>
        <w:t xml:space="preserve"> </w:t>
      </w:r>
      <w:r w:rsidRPr="00D55FB3">
        <w:t>for</w:t>
      </w:r>
      <w:r w:rsidRPr="00D55FB3">
        <w:rPr>
          <w:spacing w:val="-11"/>
        </w:rPr>
        <w:t xml:space="preserve"> </w:t>
      </w:r>
      <w:r w:rsidRPr="00D55FB3">
        <w:t>a vehicle</w:t>
      </w:r>
      <w:r w:rsidRPr="00D55FB3">
        <w:rPr>
          <w:spacing w:val="-6"/>
        </w:rPr>
        <w:t xml:space="preserve"> </w:t>
      </w:r>
      <w:r w:rsidRPr="00D55FB3">
        <w:t>(or</w:t>
      </w:r>
      <w:r w:rsidRPr="00D55FB3">
        <w:rPr>
          <w:spacing w:val="-1"/>
        </w:rPr>
        <w:t xml:space="preserve"> </w:t>
      </w:r>
      <w:r w:rsidRPr="00D55FB3">
        <w:t>transport</w:t>
      </w:r>
      <w:r w:rsidRPr="00D55FB3">
        <w:rPr>
          <w:spacing w:val="-16"/>
        </w:rPr>
        <w:t xml:space="preserve"> </w:t>
      </w:r>
      <w:r w:rsidRPr="00D55FB3">
        <w:t>deemed</w:t>
      </w:r>
      <w:r w:rsidRPr="00D55FB3">
        <w:rPr>
          <w:spacing w:val="-13"/>
        </w:rPr>
        <w:t xml:space="preserve"> </w:t>
      </w:r>
      <w:r w:rsidRPr="00D55FB3">
        <w:t>to</w:t>
      </w:r>
      <w:r w:rsidRPr="00D55FB3">
        <w:rPr>
          <w:spacing w:val="-13"/>
        </w:rPr>
        <w:t xml:space="preserve"> </w:t>
      </w:r>
      <w:r w:rsidRPr="00D55FB3">
        <w:t>be</w:t>
      </w:r>
      <w:r w:rsidRPr="00D55FB3">
        <w:rPr>
          <w:spacing w:val="-6"/>
        </w:rPr>
        <w:t xml:space="preserve"> </w:t>
      </w:r>
      <w:r w:rsidRPr="00D55FB3">
        <w:t>suitable</w:t>
      </w:r>
      <w:r w:rsidRPr="00D55FB3">
        <w:rPr>
          <w:spacing w:val="-6"/>
        </w:rPr>
        <w:t xml:space="preserve"> </w:t>
      </w:r>
      <w:r w:rsidRPr="00D55FB3">
        <w:t>by the</w:t>
      </w:r>
      <w:r w:rsidRPr="00D55FB3">
        <w:rPr>
          <w:spacing w:val="-6"/>
        </w:rPr>
        <w:t xml:space="preserve"> </w:t>
      </w:r>
      <w:r w:rsidRPr="00D55FB3">
        <w:t>county</w:t>
      </w:r>
      <w:r w:rsidRPr="00D55FB3">
        <w:rPr>
          <w:spacing w:val="-12"/>
        </w:rPr>
        <w:t xml:space="preserve"> </w:t>
      </w:r>
      <w:r w:rsidRPr="00D55FB3">
        <w:t>council) to be available on most</w:t>
      </w:r>
      <w:r w:rsidRPr="00D55FB3">
        <w:rPr>
          <w:spacing w:val="-16"/>
        </w:rPr>
        <w:t xml:space="preserve"> </w:t>
      </w:r>
      <w:r w:rsidRPr="00D55FB3">
        <w:t>working</w:t>
      </w:r>
      <w:r w:rsidR="00D55FB3">
        <w:t xml:space="preserve"> </w:t>
      </w:r>
      <w:r w:rsidRPr="00D55FB3">
        <w:t>days</w:t>
      </w:r>
      <w:r w:rsidRPr="00D55FB3">
        <w:rPr>
          <w:spacing w:val="-13"/>
        </w:rPr>
        <w:t xml:space="preserve"> </w:t>
      </w:r>
      <w:r w:rsidR="00D55FB3" w:rsidRPr="00D55FB3">
        <w:t>to</w:t>
      </w:r>
      <w:r w:rsidRPr="00D55FB3">
        <w:t xml:space="preserve"> carry</w:t>
      </w:r>
      <w:r w:rsidRPr="00D55FB3">
        <w:rPr>
          <w:spacing w:val="25"/>
        </w:rPr>
        <w:t xml:space="preserve"> </w:t>
      </w:r>
      <w:r w:rsidRPr="00D55FB3">
        <w:t>out</w:t>
      </w:r>
      <w:r w:rsidRPr="00D55FB3">
        <w:rPr>
          <w:spacing w:val="-13"/>
        </w:rPr>
        <w:t xml:space="preserve"> </w:t>
      </w:r>
      <w:r w:rsidRPr="00D55FB3">
        <w:t>normal</w:t>
      </w:r>
      <w:r w:rsidRPr="00D55FB3">
        <w:rPr>
          <w:spacing w:val="-5"/>
        </w:rPr>
        <w:t xml:space="preserve"> </w:t>
      </w:r>
      <w:r w:rsidRPr="00D55FB3">
        <w:t>duties.</w:t>
      </w:r>
      <w:r w:rsidRPr="00D55FB3">
        <w:rPr>
          <w:spacing w:val="-11"/>
        </w:rPr>
        <w:t xml:space="preserve"> </w:t>
      </w:r>
      <w:r w:rsidRPr="00D55FB3">
        <w:t>Employees</w:t>
      </w:r>
      <w:r w:rsidRPr="00D55FB3">
        <w:rPr>
          <w:spacing w:val="-13"/>
        </w:rPr>
        <w:t xml:space="preserve"> </w:t>
      </w:r>
      <w:r w:rsidRPr="00D55FB3">
        <w:t>in</w:t>
      </w:r>
      <w:r w:rsidRPr="00D55FB3">
        <w:rPr>
          <w:spacing w:val="-12"/>
        </w:rPr>
        <w:t xml:space="preserve"> </w:t>
      </w:r>
      <w:r w:rsidRPr="00D55FB3">
        <w:t>positions with a significant travel</w:t>
      </w:r>
      <w:r w:rsidRPr="00D55FB3">
        <w:rPr>
          <w:spacing w:val="-5"/>
        </w:rPr>
        <w:t xml:space="preserve"> </w:t>
      </w:r>
      <w:r w:rsidRPr="00D55FB3">
        <w:t>requirement are required</w:t>
      </w:r>
      <w:r w:rsidRPr="00D55FB3">
        <w:rPr>
          <w:spacing w:val="-10"/>
        </w:rPr>
        <w:t xml:space="preserve"> </w:t>
      </w:r>
      <w:r w:rsidRPr="00D55FB3">
        <w:t>to</w:t>
      </w:r>
      <w:r w:rsidRPr="00D55FB3">
        <w:rPr>
          <w:spacing w:val="-10"/>
        </w:rPr>
        <w:t xml:space="preserve"> </w:t>
      </w:r>
      <w:r w:rsidRPr="00D55FB3">
        <w:t>provide</w:t>
      </w:r>
      <w:r w:rsidRPr="00D55FB3">
        <w:rPr>
          <w:spacing w:val="-2"/>
        </w:rPr>
        <w:t xml:space="preserve"> </w:t>
      </w:r>
      <w:r w:rsidRPr="00D55FB3">
        <w:t>a</w:t>
      </w:r>
      <w:r w:rsidRPr="00D55FB3">
        <w:rPr>
          <w:spacing w:val="24"/>
        </w:rPr>
        <w:t xml:space="preserve"> </w:t>
      </w:r>
      <w:r w:rsidRPr="00D55FB3">
        <w:t>replacement</w:t>
      </w:r>
      <w:r w:rsidRPr="00D55FB3">
        <w:rPr>
          <w:spacing w:val="-13"/>
        </w:rPr>
        <w:t xml:space="preserve"> </w:t>
      </w:r>
      <w:r w:rsidRPr="00D55FB3">
        <w:t>vehicle</w:t>
      </w:r>
      <w:r w:rsidRPr="00D55FB3">
        <w:rPr>
          <w:spacing w:val="-2"/>
        </w:rPr>
        <w:t xml:space="preserve"> </w:t>
      </w:r>
      <w:r w:rsidRPr="00D55FB3">
        <w:t>if</w:t>
      </w:r>
      <w:r w:rsidRPr="00D55FB3">
        <w:rPr>
          <w:spacing w:val="-4"/>
        </w:rPr>
        <w:t xml:space="preserve"> </w:t>
      </w:r>
      <w:r w:rsidRPr="00D55FB3">
        <w:t>their usual</w:t>
      </w:r>
      <w:r w:rsidRPr="00D55FB3">
        <w:rPr>
          <w:spacing w:val="-1"/>
        </w:rPr>
        <w:t xml:space="preserve"> </w:t>
      </w:r>
      <w:r w:rsidRPr="00D55FB3">
        <w:t>vehicle</w:t>
      </w:r>
      <w:r w:rsidRPr="00D55FB3">
        <w:rPr>
          <w:spacing w:val="-2"/>
        </w:rPr>
        <w:t xml:space="preserve"> </w:t>
      </w:r>
      <w:r w:rsidRPr="00D55FB3">
        <w:t>is not available over</w:t>
      </w:r>
      <w:r w:rsidRPr="00D55FB3">
        <w:rPr>
          <w:spacing w:val="-13"/>
        </w:rPr>
        <w:t xml:space="preserve"> </w:t>
      </w:r>
      <w:r w:rsidRPr="00D55FB3">
        <w:t xml:space="preserve">an extended </w:t>
      </w:r>
      <w:r w:rsidRPr="00D55FB3">
        <w:rPr>
          <w:spacing w:val="-2"/>
        </w:rPr>
        <w:t>period.</w:t>
      </w:r>
    </w:p>
    <w:p w14:paraId="2C282FCE" w14:textId="77777777" w:rsidR="008745A7" w:rsidRPr="00D55FB3" w:rsidRDefault="008745A7">
      <w:pPr>
        <w:pStyle w:val="BodyText"/>
        <w:spacing w:before="6"/>
        <w:rPr>
          <w:sz w:val="21"/>
        </w:rPr>
      </w:pPr>
    </w:p>
    <w:p w14:paraId="1CBEAA1C" w14:textId="77777777" w:rsidR="008745A7" w:rsidRDefault="00924328">
      <w:pPr>
        <w:pStyle w:val="Heading1"/>
        <w:jc w:val="both"/>
      </w:pPr>
      <w:r>
        <w:t>Other</w:t>
      </w:r>
      <w:r>
        <w:rPr>
          <w:spacing w:val="-1"/>
        </w:rPr>
        <w:t xml:space="preserve"> </w:t>
      </w:r>
      <w:r>
        <w:rPr>
          <w:spacing w:val="-2"/>
        </w:rPr>
        <w:t>information</w:t>
      </w:r>
    </w:p>
    <w:p w14:paraId="1FDAE1B1" w14:textId="77777777" w:rsidR="008745A7" w:rsidRDefault="008745A7">
      <w:pPr>
        <w:pStyle w:val="BodyText"/>
        <w:spacing w:before="5"/>
      </w:pPr>
    </w:p>
    <w:p w14:paraId="2B110324" w14:textId="77777777" w:rsidR="008745A7" w:rsidRDefault="00924328">
      <w:pPr>
        <w:pStyle w:val="BodyText"/>
        <w:ind w:left="121"/>
      </w:pPr>
      <w:r>
        <w:t>The</w:t>
      </w:r>
      <w:r>
        <w:rPr>
          <w:spacing w:val="-7"/>
        </w:rPr>
        <w:t xml:space="preserve"> </w:t>
      </w:r>
      <w:r>
        <w:t>ability</w:t>
      </w:r>
      <w:r>
        <w:rPr>
          <w:spacing w:val="23"/>
        </w:rPr>
        <w:t xml:space="preserve"> </w:t>
      </w:r>
      <w:r>
        <w:t>to converse</w:t>
      </w:r>
      <w:r>
        <w:rPr>
          <w:spacing w:val="-7"/>
        </w:rPr>
        <w:t xml:space="preserve"> </w:t>
      </w:r>
      <w:r>
        <w:t>at</w:t>
      </w:r>
      <w:r>
        <w:rPr>
          <w:spacing w:val="-16"/>
        </w:rPr>
        <w:t xml:space="preserve"> </w:t>
      </w:r>
      <w:r>
        <w:t>ease</w:t>
      </w:r>
      <w:r>
        <w:rPr>
          <w:spacing w:val="-7"/>
        </w:rPr>
        <w:t xml:space="preserve"> </w:t>
      </w:r>
      <w:r>
        <w:t>with customers</w:t>
      </w:r>
      <w:r>
        <w:rPr>
          <w:spacing w:val="-14"/>
        </w:rPr>
        <w:t xml:space="preserve"> </w:t>
      </w:r>
      <w:r>
        <w:t>and</w:t>
      </w:r>
      <w:r>
        <w:rPr>
          <w:spacing w:val="-14"/>
        </w:rPr>
        <w:t xml:space="preserve"> </w:t>
      </w:r>
      <w:r>
        <w:t>provide</w:t>
      </w:r>
      <w:r>
        <w:rPr>
          <w:spacing w:val="-7"/>
        </w:rPr>
        <w:t xml:space="preserve"> </w:t>
      </w:r>
      <w:r>
        <w:t>advice in accurate spoken</w:t>
      </w:r>
      <w:r>
        <w:rPr>
          <w:spacing w:val="-14"/>
        </w:rPr>
        <w:t xml:space="preserve"> </w:t>
      </w:r>
      <w:r>
        <w:t>English</w:t>
      </w:r>
      <w:r>
        <w:rPr>
          <w:spacing w:val="-14"/>
        </w:rPr>
        <w:t xml:space="preserve"> </w:t>
      </w:r>
      <w:r>
        <w:t>is essential</w:t>
      </w:r>
      <w:r>
        <w:rPr>
          <w:spacing w:val="-14"/>
        </w:rPr>
        <w:t xml:space="preserve"> </w:t>
      </w:r>
      <w:r>
        <w:t>for</w:t>
      </w:r>
      <w:r>
        <w:rPr>
          <w:spacing w:val="-9"/>
        </w:rPr>
        <w:t xml:space="preserve"> </w:t>
      </w:r>
      <w:r>
        <w:t>the post.</w:t>
      </w:r>
    </w:p>
    <w:p w14:paraId="46B24CA0" w14:textId="77777777" w:rsidR="008745A7" w:rsidRDefault="008745A7">
      <w:pPr>
        <w:pStyle w:val="BodyText"/>
        <w:spacing w:before="5"/>
      </w:pPr>
    </w:p>
    <w:p w14:paraId="41327A14" w14:textId="77777777" w:rsidR="008745A7" w:rsidRDefault="00924328">
      <w:pPr>
        <w:pStyle w:val="BodyText"/>
        <w:ind w:left="121"/>
      </w:pPr>
      <w:r>
        <w:t>The</w:t>
      </w:r>
      <w:r>
        <w:rPr>
          <w:spacing w:val="-10"/>
        </w:rPr>
        <w:t xml:space="preserve"> </w:t>
      </w:r>
      <w:r>
        <w:t>post</w:t>
      </w:r>
      <w:r>
        <w:rPr>
          <w:spacing w:val="-1"/>
        </w:rPr>
        <w:t xml:space="preserve"> </w:t>
      </w:r>
      <w:r>
        <w:t>is</w:t>
      </w:r>
      <w:r>
        <w:rPr>
          <w:spacing w:val="2"/>
        </w:rPr>
        <w:t xml:space="preserve"> </w:t>
      </w:r>
      <w:r>
        <w:t>subject</w:t>
      </w:r>
      <w:r>
        <w:rPr>
          <w:spacing w:val="-18"/>
        </w:rPr>
        <w:t xml:space="preserve"> </w:t>
      </w:r>
      <w:r>
        <w:t>to</w:t>
      </w:r>
      <w:r>
        <w:rPr>
          <w:spacing w:val="1"/>
        </w:rPr>
        <w:t xml:space="preserve"> </w:t>
      </w:r>
      <w:r>
        <w:t>Disclosure</w:t>
      </w:r>
      <w:r>
        <w:rPr>
          <w:spacing w:val="-9"/>
        </w:rPr>
        <w:t xml:space="preserve"> </w:t>
      </w:r>
      <w:r>
        <w:t>and</w:t>
      </w:r>
      <w:r>
        <w:rPr>
          <w:spacing w:val="1"/>
        </w:rPr>
        <w:t xml:space="preserve"> </w:t>
      </w:r>
      <w:r>
        <w:t>Barring</w:t>
      </w:r>
      <w:r>
        <w:rPr>
          <w:spacing w:val="15"/>
        </w:rPr>
        <w:t xml:space="preserve"> </w:t>
      </w:r>
      <w:r>
        <w:t>Service</w:t>
      </w:r>
      <w:r>
        <w:rPr>
          <w:spacing w:val="-9"/>
        </w:rPr>
        <w:t xml:space="preserve"> </w:t>
      </w:r>
      <w:r>
        <w:t>(DBS)</w:t>
      </w:r>
      <w:r>
        <w:rPr>
          <w:spacing w:val="-10"/>
        </w:rPr>
        <w:t xml:space="preserve"> </w:t>
      </w:r>
      <w:r>
        <w:rPr>
          <w:spacing w:val="-2"/>
        </w:rPr>
        <w:t>checking.</w:t>
      </w:r>
    </w:p>
    <w:p w14:paraId="488236F1" w14:textId="77777777" w:rsidR="008745A7" w:rsidRDefault="008745A7">
      <w:pPr>
        <w:pStyle w:val="BodyText"/>
        <w:spacing w:before="3"/>
      </w:pPr>
    </w:p>
    <w:tbl>
      <w:tblPr>
        <w:tblW w:w="0" w:type="auto"/>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133"/>
        <w:gridCol w:w="3409"/>
        <w:gridCol w:w="1232"/>
        <w:gridCol w:w="2253"/>
      </w:tblGrid>
      <w:tr w:rsidR="008745A7" w14:paraId="1D75AECD" w14:textId="77777777" w:rsidTr="15F643F2">
        <w:trPr>
          <w:trHeight w:val="255"/>
        </w:trPr>
        <w:tc>
          <w:tcPr>
            <w:tcW w:w="9027" w:type="dxa"/>
            <w:gridSpan w:val="4"/>
          </w:tcPr>
          <w:p w14:paraId="4682A80C" w14:textId="77777777" w:rsidR="008745A7" w:rsidRDefault="00924328">
            <w:pPr>
              <w:pStyle w:val="TableParagraph"/>
              <w:spacing w:line="236" w:lineRule="exact"/>
              <w:ind w:left="3054" w:right="3013"/>
              <w:jc w:val="center"/>
              <w:rPr>
                <w:b/>
              </w:rPr>
            </w:pPr>
            <w:r>
              <w:rPr>
                <w:b/>
              </w:rPr>
              <w:t>Context</w:t>
            </w:r>
            <w:r>
              <w:rPr>
                <w:b/>
                <w:spacing w:val="-13"/>
              </w:rPr>
              <w:t xml:space="preserve"> </w:t>
            </w:r>
            <w:r>
              <w:rPr>
                <w:b/>
              </w:rPr>
              <w:t>statement</w:t>
            </w:r>
            <w:r>
              <w:rPr>
                <w:b/>
                <w:spacing w:val="-13"/>
              </w:rPr>
              <w:t xml:space="preserve"> </w:t>
            </w:r>
            <w:r>
              <w:rPr>
                <w:b/>
              </w:rPr>
              <w:t>prepared</w:t>
            </w:r>
            <w:r>
              <w:rPr>
                <w:b/>
                <w:spacing w:val="12"/>
              </w:rPr>
              <w:t xml:space="preserve"> </w:t>
            </w:r>
            <w:r>
              <w:rPr>
                <w:b/>
                <w:spacing w:val="-5"/>
              </w:rPr>
              <w:t>by:</w:t>
            </w:r>
          </w:p>
        </w:tc>
      </w:tr>
      <w:tr w:rsidR="008745A7" w14:paraId="2C17C58C" w14:textId="77777777" w:rsidTr="15F643F2">
        <w:trPr>
          <w:trHeight w:val="255"/>
        </w:trPr>
        <w:tc>
          <w:tcPr>
            <w:tcW w:w="2133" w:type="dxa"/>
          </w:tcPr>
          <w:p w14:paraId="46BFAB2A" w14:textId="1B8410C5" w:rsidR="008745A7" w:rsidRDefault="00514AA1">
            <w:pPr>
              <w:pStyle w:val="TableParagraph"/>
              <w:ind w:left="127"/>
            </w:pPr>
            <w:r>
              <w:t>Housing Solutions Interim Manager</w:t>
            </w:r>
          </w:p>
        </w:tc>
        <w:tc>
          <w:tcPr>
            <w:tcW w:w="3409" w:type="dxa"/>
          </w:tcPr>
          <w:p w14:paraId="4216490B" w14:textId="1FEA05DF" w:rsidR="008745A7" w:rsidRDefault="00514AA1">
            <w:pPr>
              <w:pStyle w:val="TableParagraph"/>
            </w:pPr>
            <w:r>
              <w:t>Nilima Ali</w:t>
            </w:r>
          </w:p>
        </w:tc>
        <w:tc>
          <w:tcPr>
            <w:tcW w:w="1232" w:type="dxa"/>
          </w:tcPr>
          <w:p w14:paraId="6BFCFC37" w14:textId="140D01F6" w:rsidR="008745A7" w:rsidRDefault="00514AA1">
            <w:pPr>
              <w:pStyle w:val="TableParagraph"/>
            </w:pPr>
            <w:r>
              <w:t>Date</w:t>
            </w:r>
          </w:p>
        </w:tc>
        <w:tc>
          <w:tcPr>
            <w:tcW w:w="2253" w:type="dxa"/>
          </w:tcPr>
          <w:p w14:paraId="6364C649" w14:textId="28003467" w:rsidR="008745A7" w:rsidRDefault="13A38798" w:rsidP="15F643F2">
            <w:pPr>
              <w:pStyle w:val="TableParagraph"/>
              <w:spacing w:line="240" w:lineRule="exact"/>
              <w:ind w:left="111"/>
            </w:pPr>
            <w:r>
              <w:t>February 2024</w:t>
            </w:r>
          </w:p>
        </w:tc>
      </w:tr>
    </w:tbl>
    <w:p w14:paraId="27025C56" w14:textId="77777777" w:rsidR="00924328" w:rsidRDefault="00924328"/>
    <w:sectPr w:rsidR="00924328" w:rsidSect="00D55FB3">
      <w:pgSz w:w="11910" w:h="16850"/>
      <w:pgMar w:top="567" w:right="132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D5D2C"/>
    <w:multiLevelType w:val="multilevel"/>
    <w:tmpl w:val="753E4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B3D12"/>
    <w:multiLevelType w:val="multilevel"/>
    <w:tmpl w:val="2F46E0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E538B0"/>
    <w:multiLevelType w:val="multilevel"/>
    <w:tmpl w:val="E1FE8FD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C397E51"/>
    <w:multiLevelType w:val="hybridMultilevel"/>
    <w:tmpl w:val="8034C9DA"/>
    <w:lvl w:ilvl="0" w:tplc="08090001">
      <w:start w:val="1"/>
      <w:numFmt w:val="bullet"/>
      <w:lvlText w:val=""/>
      <w:lvlJc w:val="left"/>
      <w:pPr>
        <w:ind w:left="841" w:hanging="360"/>
      </w:pPr>
      <w:rPr>
        <w:rFonts w:ascii="Symbol" w:hAnsi="Symbol" w:hint="default"/>
      </w:rPr>
    </w:lvl>
    <w:lvl w:ilvl="1" w:tplc="08090003" w:tentative="1">
      <w:start w:val="1"/>
      <w:numFmt w:val="bullet"/>
      <w:lvlText w:val="o"/>
      <w:lvlJc w:val="left"/>
      <w:pPr>
        <w:ind w:left="1561" w:hanging="360"/>
      </w:pPr>
      <w:rPr>
        <w:rFonts w:ascii="Courier New" w:hAnsi="Courier New" w:cs="Courier New" w:hint="default"/>
      </w:rPr>
    </w:lvl>
    <w:lvl w:ilvl="2" w:tplc="08090005" w:tentative="1">
      <w:start w:val="1"/>
      <w:numFmt w:val="bullet"/>
      <w:lvlText w:val=""/>
      <w:lvlJc w:val="left"/>
      <w:pPr>
        <w:ind w:left="2281" w:hanging="360"/>
      </w:pPr>
      <w:rPr>
        <w:rFonts w:ascii="Wingdings" w:hAnsi="Wingdings" w:hint="default"/>
      </w:rPr>
    </w:lvl>
    <w:lvl w:ilvl="3" w:tplc="08090001" w:tentative="1">
      <w:start w:val="1"/>
      <w:numFmt w:val="bullet"/>
      <w:lvlText w:val=""/>
      <w:lvlJc w:val="left"/>
      <w:pPr>
        <w:ind w:left="3001" w:hanging="360"/>
      </w:pPr>
      <w:rPr>
        <w:rFonts w:ascii="Symbol" w:hAnsi="Symbol" w:hint="default"/>
      </w:rPr>
    </w:lvl>
    <w:lvl w:ilvl="4" w:tplc="08090003" w:tentative="1">
      <w:start w:val="1"/>
      <w:numFmt w:val="bullet"/>
      <w:lvlText w:val="o"/>
      <w:lvlJc w:val="left"/>
      <w:pPr>
        <w:ind w:left="3721" w:hanging="360"/>
      </w:pPr>
      <w:rPr>
        <w:rFonts w:ascii="Courier New" w:hAnsi="Courier New" w:cs="Courier New" w:hint="default"/>
      </w:rPr>
    </w:lvl>
    <w:lvl w:ilvl="5" w:tplc="08090005" w:tentative="1">
      <w:start w:val="1"/>
      <w:numFmt w:val="bullet"/>
      <w:lvlText w:val=""/>
      <w:lvlJc w:val="left"/>
      <w:pPr>
        <w:ind w:left="4441" w:hanging="360"/>
      </w:pPr>
      <w:rPr>
        <w:rFonts w:ascii="Wingdings" w:hAnsi="Wingdings" w:hint="default"/>
      </w:rPr>
    </w:lvl>
    <w:lvl w:ilvl="6" w:tplc="08090001" w:tentative="1">
      <w:start w:val="1"/>
      <w:numFmt w:val="bullet"/>
      <w:lvlText w:val=""/>
      <w:lvlJc w:val="left"/>
      <w:pPr>
        <w:ind w:left="5161" w:hanging="360"/>
      </w:pPr>
      <w:rPr>
        <w:rFonts w:ascii="Symbol" w:hAnsi="Symbol" w:hint="default"/>
      </w:rPr>
    </w:lvl>
    <w:lvl w:ilvl="7" w:tplc="08090003" w:tentative="1">
      <w:start w:val="1"/>
      <w:numFmt w:val="bullet"/>
      <w:lvlText w:val="o"/>
      <w:lvlJc w:val="left"/>
      <w:pPr>
        <w:ind w:left="5881" w:hanging="360"/>
      </w:pPr>
      <w:rPr>
        <w:rFonts w:ascii="Courier New" w:hAnsi="Courier New" w:cs="Courier New" w:hint="default"/>
      </w:rPr>
    </w:lvl>
    <w:lvl w:ilvl="8" w:tplc="08090005" w:tentative="1">
      <w:start w:val="1"/>
      <w:numFmt w:val="bullet"/>
      <w:lvlText w:val=""/>
      <w:lvlJc w:val="left"/>
      <w:pPr>
        <w:ind w:left="6601" w:hanging="360"/>
      </w:pPr>
      <w:rPr>
        <w:rFonts w:ascii="Wingdings" w:hAnsi="Wingdings" w:hint="default"/>
      </w:rPr>
    </w:lvl>
  </w:abstractNum>
  <w:abstractNum w:abstractNumId="4" w15:restartNumberingAfterBreak="0">
    <w:nsid w:val="5DA37184"/>
    <w:multiLevelType w:val="hybridMultilevel"/>
    <w:tmpl w:val="337478DE"/>
    <w:lvl w:ilvl="0" w:tplc="6856335E">
      <w:numFmt w:val="bullet"/>
      <w:lvlText w:val=""/>
      <w:lvlJc w:val="left"/>
      <w:pPr>
        <w:ind w:left="842" w:hanging="360"/>
      </w:pPr>
      <w:rPr>
        <w:rFonts w:ascii="Symbol" w:eastAsia="Symbol" w:hAnsi="Symbol" w:cs="Symbol" w:hint="default"/>
        <w:b w:val="0"/>
        <w:bCs w:val="0"/>
        <w:i w:val="0"/>
        <w:iCs w:val="0"/>
        <w:w w:val="102"/>
        <w:sz w:val="22"/>
        <w:szCs w:val="22"/>
        <w:lang w:val="en-US" w:eastAsia="en-US" w:bidi="ar-SA"/>
      </w:rPr>
    </w:lvl>
    <w:lvl w:ilvl="1" w:tplc="28B614C0">
      <w:numFmt w:val="bullet"/>
      <w:lvlText w:val="•"/>
      <w:lvlJc w:val="left"/>
      <w:pPr>
        <w:ind w:left="1683" w:hanging="360"/>
      </w:pPr>
      <w:rPr>
        <w:rFonts w:hint="default"/>
        <w:lang w:val="en-US" w:eastAsia="en-US" w:bidi="ar-SA"/>
      </w:rPr>
    </w:lvl>
    <w:lvl w:ilvl="2" w:tplc="88F82900">
      <w:numFmt w:val="bullet"/>
      <w:lvlText w:val="•"/>
      <w:lvlJc w:val="left"/>
      <w:pPr>
        <w:ind w:left="2526" w:hanging="360"/>
      </w:pPr>
      <w:rPr>
        <w:rFonts w:hint="default"/>
        <w:lang w:val="en-US" w:eastAsia="en-US" w:bidi="ar-SA"/>
      </w:rPr>
    </w:lvl>
    <w:lvl w:ilvl="3" w:tplc="6582CC44">
      <w:numFmt w:val="bullet"/>
      <w:lvlText w:val="•"/>
      <w:lvlJc w:val="left"/>
      <w:pPr>
        <w:ind w:left="3369" w:hanging="360"/>
      </w:pPr>
      <w:rPr>
        <w:rFonts w:hint="default"/>
        <w:lang w:val="en-US" w:eastAsia="en-US" w:bidi="ar-SA"/>
      </w:rPr>
    </w:lvl>
    <w:lvl w:ilvl="4" w:tplc="072A1704">
      <w:numFmt w:val="bullet"/>
      <w:lvlText w:val="•"/>
      <w:lvlJc w:val="left"/>
      <w:pPr>
        <w:ind w:left="4212" w:hanging="360"/>
      </w:pPr>
      <w:rPr>
        <w:rFonts w:hint="default"/>
        <w:lang w:val="en-US" w:eastAsia="en-US" w:bidi="ar-SA"/>
      </w:rPr>
    </w:lvl>
    <w:lvl w:ilvl="5" w:tplc="38C8C2FC">
      <w:numFmt w:val="bullet"/>
      <w:lvlText w:val="•"/>
      <w:lvlJc w:val="left"/>
      <w:pPr>
        <w:ind w:left="5055" w:hanging="360"/>
      </w:pPr>
      <w:rPr>
        <w:rFonts w:hint="default"/>
        <w:lang w:val="en-US" w:eastAsia="en-US" w:bidi="ar-SA"/>
      </w:rPr>
    </w:lvl>
    <w:lvl w:ilvl="6" w:tplc="EE0AAB34">
      <w:numFmt w:val="bullet"/>
      <w:lvlText w:val="•"/>
      <w:lvlJc w:val="left"/>
      <w:pPr>
        <w:ind w:left="5898" w:hanging="360"/>
      </w:pPr>
      <w:rPr>
        <w:rFonts w:hint="default"/>
        <w:lang w:val="en-US" w:eastAsia="en-US" w:bidi="ar-SA"/>
      </w:rPr>
    </w:lvl>
    <w:lvl w:ilvl="7" w:tplc="8D84885A">
      <w:numFmt w:val="bullet"/>
      <w:lvlText w:val="•"/>
      <w:lvlJc w:val="left"/>
      <w:pPr>
        <w:ind w:left="6741" w:hanging="360"/>
      </w:pPr>
      <w:rPr>
        <w:rFonts w:hint="default"/>
        <w:lang w:val="en-US" w:eastAsia="en-US" w:bidi="ar-SA"/>
      </w:rPr>
    </w:lvl>
    <w:lvl w:ilvl="8" w:tplc="589A8656">
      <w:numFmt w:val="bullet"/>
      <w:lvlText w:val="•"/>
      <w:lvlJc w:val="left"/>
      <w:pPr>
        <w:ind w:left="7584" w:hanging="360"/>
      </w:pPr>
      <w:rPr>
        <w:rFonts w:hint="default"/>
        <w:lang w:val="en-US" w:eastAsia="en-US" w:bidi="ar-SA"/>
      </w:rPr>
    </w:lvl>
  </w:abstractNum>
  <w:num w:numId="1" w16cid:durableId="425465288">
    <w:abstractNumId w:val="4"/>
  </w:num>
  <w:num w:numId="2" w16cid:durableId="2018313481">
    <w:abstractNumId w:val="3"/>
  </w:num>
  <w:num w:numId="3" w16cid:durableId="1882130152">
    <w:abstractNumId w:val="2"/>
  </w:num>
  <w:num w:numId="4" w16cid:durableId="266347762">
    <w:abstractNumId w:val="1"/>
  </w:num>
  <w:num w:numId="5" w16cid:durableId="8123319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5A7"/>
    <w:rsid w:val="000234F9"/>
    <w:rsid w:val="00035D50"/>
    <w:rsid w:val="0004755B"/>
    <w:rsid w:val="000B00B9"/>
    <w:rsid w:val="000D04FA"/>
    <w:rsid w:val="000D0905"/>
    <w:rsid w:val="000E6461"/>
    <w:rsid w:val="00204709"/>
    <w:rsid w:val="002358FE"/>
    <w:rsid w:val="00276FDC"/>
    <w:rsid w:val="002B1B9E"/>
    <w:rsid w:val="002D71E6"/>
    <w:rsid w:val="003860E1"/>
    <w:rsid w:val="003B6709"/>
    <w:rsid w:val="003F3204"/>
    <w:rsid w:val="003F67A8"/>
    <w:rsid w:val="00404508"/>
    <w:rsid w:val="00413B69"/>
    <w:rsid w:val="004C501E"/>
    <w:rsid w:val="004C750E"/>
    <w:rsid w:val="004F415E"/>
    <w:rsid w:val="0051159A"/>
    <w:rsid w:val="00514AA1"/>
    <w:rsid w:val="0052666A"/>
    <w:rsid w:val="005A1832"/>
    <w:rsid w:val="005A798B"/>
    <w:rsid w:val="005C2D0B"/>
    <w:rsid w:val="00606181"/>
    <w:rsid w:val="00644A6E"/>
    <w:rsid w:val="00692B1C"/>
    <w:rsid w:val="006F10A1"/>
    <w:rsid w:val="00720883"/>
    <w:rsid w:val="00724275"/>
    <w:rsid w:val="007526D6"/>
    <w:rsid w:val="008745A7"/>
    <w:rsid w:val="00893123"/>
    <w:rsid w:val="00924328"/>
    <w:rsid w:val="00971FC8"/>
    <w:rsid w:val="00972198"/>
    <w:rsid w:val="009B6D13"/>
    <w:rsid w:val="00A24AAE"/>
    <w:rsid w:val="00A77639"/>
    <w:rsid w:val="00AD549B"/>
    <w:rsid w:val="00BA56D3"/>
    <w:rsid w:val="00BC2150"/>
    <w:rsid w:val="00C10332"/>
    <w:rsid w:val="00C3445B"/>
    <w:rsid w:val="00C35A81"/>
    <w:rsid w:val="00C47217"/>
    <w:rsid w:val="00C66E5A"/>
    <w:rsid w:val="00D14E14"/>
    <w:rsid w:val="00D55FB3"/>
    <w:rsid w:val="00D6069A"/>
    <w:rsid w:val="00D6E967"/>
    <w:rsid w:val="00D877EB"/>
    <w:rsid w:val="00DB442C"/>
    <w:rsid w:val="00E21392"/>
    <w:rsid w:val="00E51333"/>
    <w:rsid w:val="00EC554F"/>
    <w:rsid w:val="00F3690F"/>
    <w:rsid w:val="00FD2D54"/>
    <w:rsid w:val="00FD499E"/>
    <w:rsid w:val="026A4612"/>
    <w:rsid w:val="05292AF2"/>
    <w:rsid w:val="08DFA6C3"/>
    <w:rsid w:val="13A38798"/>
    <w:rsid w:val="145A7391"/>
    <w:rsid w:val="15F643F2"/>
    <w:rsid w:val="1C37AD5E"/>
    <w:rsid w:val="21872082"/>
    <w:rsid w:val="227A1B4E"/>
    <w:rsid w:val="25B4830D"/>
    <w:rsid w:val="2A6FEC7E"/>
    <w:rsid w:val="3447A836"/>
    <w:rsid w:val="345114FF"/>
    <w:rsid w:val="34FE2027"/>
    <w:rsid w:val="36DEAE0F"/>
    <w:rsid w:val="39FDBC01"/>
    <w:rsid w:val="486CD313"/>
    <w:rsid w:val="4C874EA4"/>
    <w:rsid w:val="4FE40710"/>
    <w:rsid w:val="512CA972"/>
    <w:rsid w:val="5A65C382"/>
    <w:rsid w:val="5E4D5F38"/>
    <w:rsid w:val="6BF6BD25"/>
    <w:rsid w:val="734A5F67"/>
    <w:rsid w:val="772665B8"/>
    <w:rsid w:val="78E4FF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D936B"/>
  <w15:docId w15:val="{B7311EFA-7459-494B-907D-5DD5C4BEF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21"/>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42" w:hanging="360"/>
    </w:pPr>
  </w:style>
  <w:style w:type="paragraph" w:customStyle="1" w:styleId="TableParagraph">
    <w:name w:val="Table Paragraph"/>
    <w:basedOn w:val="Normal"/>
    <w:uiPriority w:val="1"/>
    <w:qFormat/>
    <w:pPr>
      <w:spacing w:line="234" w:lineRule="exact"/>
      <w:ind w:left="112"/>
    </w:pPr>
  </w:style>
  <w:style w:type="character" w:customStyle="1" w:styleId="normaltextrun">
    <w:name w:val="normaltextrun"/>
    <w:basedOn w:val="DefaultParagraphFont"/>
    <w:rsid w:val="002D71E6"/>
  </w:style>
  <w:style w:type="character" w:customStyle="1" w:styleId="eop">
    <w:name w:val="eop"/>
    <w:basedOn w:val="DefaultParagraphFont"/>
    <w:rsid w:val="002D71E6"/>
  </w:style>
  <w:style w:type="paragraph" w:customStyle="1" w:styleId="paragraph">
    <w:name w:val="paragraph"/>
    <w:basedOn w:val="Normal"/>
    <w:rsid w:val="00E21392"/>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Calibri"/>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26884">
      <w:bodyDiv w:val="1"/>
      <w:marLeft w:val="0"/>
      <w:marRight w:val="0"/>
      <w:marTop w:val="0"/>
      <w:marBottom w:val="0"/>
      <w:divBdr>
        <w:top w:val="none" w:sz="0" w:space="0" w:color="auto"/>
        <w:left w:val="none" w:sz="0" w:space="0" w:color="auto"/>
        <w:bottom w:val="none" w:sz="0" w:space="0" w:color="auto"/>
        <w:right w:val="none" w:sz="0" w:space="0" w:color="auto"/>
      </w:divBdr>
    </w:div>
    <w:div w:id="1434326787">
      <w:bodyDiv w:val="1"/>
      <w:marLeft w:val="0"/>
      <w:marRight w:val="0"/>
      <w:marTop w:val="0"/>
      <w:marBottom w:val="0"/>
      <w:divBdr>
        <w:top w:val="none" w:sz="0" w:space="0" w:color="auto"/>
        <w:left w:val="none" w:sz="0" w:space="0" w:color="auto"/>
        <w:bottom w:val="none" w:sz="0" w:space="0" w:color="auto"/>
        <w:right w:val="none" w:sz="0" w:space="0" w:color="auto"/>
      </w:divBdr>
    </w:div>
    <w:div w:id="1941528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06C07FCCA2B4D40BFACBA14E1C7D75B" ma:contentTypeVersion="6" ma:contentTypeDescription="Create a new document." ma:contentTypeScope="" ma:versionID="efba2f251415f58546d0eba1445b87aa">
  <xsd:schema xmlns:xsd="http://www.w3.org/2001/XMLSchema" xmlns:xs="http://www.w3.org/2001/XMLSchema" xmlns:p="http://schemas.microsoft.com/office/2006/metadata/properties" xmlns:ns2="58675df3-51d3-4829-afba-951a68b683ef" xmlns:ns3="b47baaf8-113b-46f1-aa19-532f8e5cdacf" targetNamespace="http://schemas.microsoft.com/office/2006/metadata/properties" ma:root="true" ma:fieldsID="94979df1bb2d7bcc83fe25054506ffbe" ns2:_="" ns3:_="">
    <xsd:import namespace="58675df3-51d3-4829-afba-951a68b683ef"/>
    <xsd:import namespace="b47baaf8-113b-46f1-aa19-532f8e5cdac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75df3-51d3-4829-afba-951a68b68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7baaf8-113b-46f1-aa19-532f8e5cda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b47baaf8-113b-46f1-aa19-532f8e5cdacf">
      <UserInfo>
        <DisplayName>Jude Harvey</DisplayName>
        <AccountId>79</AccountId>
        <AccountType/>
      </UserInfo>
      <UserInfo>
        <DisplayName>Mark Fisher</DisplayName>
        <AccountId>143</AccountId>
        <AccountType/>
      </UserInfo>
      <UserInfo>
        <DisplayName>Nilima Ali</DisplayName>
        <AccountId>63</AccountId>
        <AccountType/>
      </UserInfo>
      <UserInfo>
        <DisplayName>Mandella Edwards</DisplayName>
        <AccountId>145</AccountId>
        <AccountType/>
      </UserInfo>
      <UserInfo>
        <DisplayName>Stephanie Rogers (Housing)</DisplayName>
        <AccountId>22</AccountId>
        <AccountType/>
      </UserInfo>
      <UserInfo>
        <DisplayName>Emily Garnham</DisplayName>
        <AccountId>198</AccountId>
        <AccountType/>
      </UserInfo>
    </SharedWithUsers>
  </documentManagement>
</p:properties>
</file>

<file path=customXml/itemProps1.xml><?xml version="1.0" encoding="utf-8"?>
<ds:datastoreItem xmlns:ds="http://schemas.openxmlformats.org/officeDocument/2006/customXml" ds:itemID="{18B9A4EB-6AA0-4459-A1D7-8D91A1F0D012}">
  <ds:schemaRefs>
    <ds:schemaRef ds:uri="http://schemas.openxmlformats.org/officeDocument/2006/bibliography"/>
  </ds:schemaRefs>
</ds:datastoreItem>
</file>

<file path=customXml/itemProps2.xml><?xml version="1.0" encoding="utf-8"?>
<ds:datastoreItem xmlns:ds="http://schemas.openxmlformats.org/officeDocument/2006/customXml" ds:itemID="{A7FF188C-4E13-42CF-AF41-7137E875C621}">
  <ds:schemaRefs>
    <ds:schemaRef ds:uri="http://schemas.microsoft.com/sharepoint/v3/contenttype/forms"/>
  </ds:schemaRefs>
</ds:datastoreItem>
</file>

<file path=customXml/itemProps3.xml><?xml version="1.0" encoding="utf-8"?>
<ds:datastoreItem xmlns:ds="http://schemas.openxmlformats.org/officeDocument/2006/customXml" ds:itemID="{F4753651-5239-489C-9C8C-A222F370BC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75df3-51d3-4829-afba-951a68b683ef"/>
    <ds:schemaRef ds:uri="b47baaf8-113b-46f1-aa19-532f8e5cda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201A6C2-A6CC-4F34-9432-8A5D57F33998}">
  <ds:schemaRefs>
    <ds:schemaRef ds:uri="http://schemas.microsoft.com/office/2006/metadata/properties"/>
    <ds:schemaRef ds:uri="http://schemas.microsoft.com/office/infopath/2007/PartnerControls"/>
    <ds:schemaRef ds:uri="b47baaf8-113b-46f1-aa19-532f8e5cdac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424</Words>
  <Characters>2417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victoriagalloway</dc:creator>
  <cp:lastModifiedBy>Nilima Ali</cp:lastModifiedBy>
  <cp:revision>5</cp:revision>
  <dcterms:created xsi:type="dcterms:W3CDTF">2024-05-17T18:10:00Z</dcterms:created>
  <dcterms:modified xsi:type="dcterms:W3CDTF">2025-04-26T13:38:00Z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2022-01-26T00:00:00Z</vt:filetime>
  </property>
  <property fmtid="{D5CDD505-2E9C-101B-9397-08002B2CF9AE}" pid="3" name="Creator">
    <vt:lpwstr>Microsoft® Word for Microsoft 365</vt:lpwstr>
  </property>
  <property fmtid="{D5CDD505-2E9C-101B-9397-08002B2CF9AE}" pid="4" name="LastSaved">
    <vt:filetime>2023-10-27T00:00:00Z</vt:filetime>
  </property>
  <property fmtid="{D5CDD505-2E9C-101B-9397-08002B2CF9AE}" pid="5" name="Producer">
    <vt:lpwstr>Microsoft® Word for Microsoft 365</vt:lpwstr>
  </property>
  <property fmtid="{D5CDD505-2E9C-101B-9397-08002B2CF9AE}" pid="6" name="ContentTypeId">
    <vt:lpwstr>0x010100B06C07FCCA2B4D40BFACBA14E1C7D75B</vt:lpwstr>
  </property>
  <property fmtid="{D5CDD505-2E9C-101B-9397-08002B2CF9AE}" pid="7" name="ComplianceAssetId">
    <vt:lpwstr/>
  </property>
  <property fmtid="{D5CDD505-2E9C-101B-9397-08002B2CF9AE}" pid="8" name="_ExtendedDescription">
    <vt:lpwstr/>
  </property>
  <property fmtid="{D5CDD505-2E9C-101B-9397-08002B2CF9AE}" pid="9" name="_activity">
    <vt:lpwstr>{"FileActivityType":"9","FileActivityTimeStamp":"2024-01-12T10:20:56.900Z","FileActivityUsersOnPage":[{"DisplayName":"Stephanie Rogers (Housing)","Id":"stephanie.l.rogers@dorsetcouncil.gov.uk"},{"DisplayName":"Nilima Ali","Id":"nilima.ali@dorsetcouncil.gov.uk"},{"DisplayName":"Mandella Edwards","Id":"mandella.edwards@dorsetcouncil.gov.uk"},{"DisplayName":"Mark Fisher","Id":"mark.fisher@dorsetcouncil.gov.uk"}],"FileActivityNavigationId":null}</vt:lpwstr>
  </property>
  <property fmtid="{D5CDD505-2E9C-101B-9397-08002B2CF9AE}" pid="10" name="TriggerFlowInfo">
    <vt:lpwstr/>
  </property>
  <property fmtid="{D5CDD505-2E9C-101B-9397-08002B2CF9AE}" pid="11" name="Order">
    <vt:r8>17400</vt:r8>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